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4612E" w14:textId="77777777" w:rsidR="00985BBF" w:rsidRDefault="00785499" w:rsidP="00D15EED">
      <w:pPr>
        <w:pStyle w:val="Antrat"/>
      </w:pPr>
      <w:bookmarkStart w:id="0" w:name="_GoBack"/>
      <w:bookmarkEnd w:id="0"/>
      <w:r>
        <w:t>.</w:t>
      </w:r>
    </w:p>
    <w:p w14:paraId="3744612F" w14:textId="77777777" w:rsidR="00985BBF" w:rsidRDefault="00985BBF">
      <w:pPr>
        <w:rPr>
          <w:b/>
        </w:rPr>
      </w:pPr>
    </w:p>
    <w:p w14:paraId="37446130" w14:textId="77777777" w:rsidR="00985BBF" w:rsidRDefault="00985BBF">
      <w:pPr>
        <w:rPr>
          <w:b/>
        </w:rPr>
      </w:pPr>
    </w:p>
    <w:p w14:paraId="37446131" w14:textId="77777777" w:rsidR="00985BBF" w:rsidRDefault="00785499">
      <w:pPr>
        <w:jc w:val="center"/>
        <w:rPr>
          <w:b/>
        </w:rPr>
      </w:pPr>
      <w:r>
        <w:rPr>
          <w:b/>
        </w:rPr>
        <w:t>PANEVĖŽIO LOPŠELIS-DARŽELIS ‘‘RŪTA‘‘</w:t>
      </w:r>
    </w:p>
    <w:p w14:paraId="37446132" w14:textId="77777777" w:rsidR="00985BBF" w:rsidRDefault="00985BBF">
      <w:pPr>
        <w:jc w:val="center"/>
        <w:rPr>
          <w:b/>
        </w:rPr>
      </w:pPr>
    </w:p>
    <w:p w14:paraId="37446133" w14:textId="77777777" w:rsidR="00985BBF" w:rsidRDefault="00985BBF">
      <w:pPr>
        <w:ind w:firstLine="720"/>
        <w:jc w:val="center"/>
        <w:rPr>
          <w:b/>
          <w:sz w:val="20"/>
          <w:szCs w:val="20"/>
        </w:rPr>
      </w:pPr>
    </w:p>
    <w:p w14:paraId="37446134" w14:textId="7C72770B" w:rsidR="00985BBF" w:rsidRDefault="00785499">
      <w:pPr>
        <w:jc w:val="center"/>
      </w:pPr>
      <w:r>
        <w:rPr>
          <w:b/>
        </w:rPr>
        <w:t xml:space="preserve">AIŠKINAMASIS RAŠTAS PRIE 2022 M. </w:t>
      </w:r>
      <w:r w:rsidR="009355DE">
        <w:rPr>
          <w:b/>
        </w:rPr>
        <w:t>BIRŽELIO</w:t>
      </w:r>
      <w:r>
        <w:rPr>
          <w:b/>
        </w:rPr>
        <w:t xml:space="preserve"> 3</w:t>
      </w:r>
      <w:r w:rsidR="009355DE">
        <w:rPr>
          <w:b/>
        </w:rPr>
        <w:t>0</w:t>
      </w:r>
      <w:r>
        <w:rPr>
          <w:b/>
        </w:rPr>
        <w:t xml:space="preserve"> D.</w:t>
      </w:r>
    </w:p>
    <w:p w14:paraId="37446135" w14:textId="77777777" w:rsidR="00985BBF" w:rsidRDefault="00785499">
      <w:pPr>
        <w:jc w:val="center"/>
        <w:rPr>
          <w:b/>
        </w:rPr>
      </w:pPr>
      <w:r>
        <w:rPr>
          <w:b/>
        </w:rPr>
        <w:t>FINANSINIŲ ATASKAITŲ</w:t>
      </w:r>
    </w:p>
    <w:p w14:paraId="37446136" w14:textId="77777777" w:rsidR="00985BBF" w:rsidRDefault="00785499">
      <w:pPr>
        <w:pStyle w:val="Antrat1"/>
        <w:jc w:val="both"/>
      </w:pPr>
      <w:r>
        <w:t>Bendroji informacija</w:t>
      </w:r>
    </w:p>
    <w:tbl>
      <w:tblPr>
        <w:tblW w:w="9874" w:type="dxa"/>
        <w:tblInd w:w="-226" w:type="dxa"/>
        <w:tblLook w:val="04A0" w:firstRow="1" w:lastRow="0" w:firstColumn="1" w:lastColumn="0" w:noHBand="0" w:noVBand="1"/>
      </w:tblPr>
      <w:tblGrid>
        <w:gridCol w:w="9874"/>
      </w:tblGrid>
      <w:tr w:rsidR="00985BBF" w14:paraId="37446138" w14:textId="77777777">
        <w:tc>
          <w:tcPr>
            <w:tcW w:w="9874" w:type="dxa"/>
            <w:tcBorders>
              <w:top w:val="single" w:sz="4" w:space="0" w:color="000000"/>
              <w:left w:val="single" w:sz="4" w:space="0" w:color="000000"/>
              <w:bottom w:val="single" w:sz="4" w:space="0" w:color="000000"/>
              <w:right w:val="single" w:sz="4" w:space="0" w:color="000000"/>
            </w:tcBorders>
            <w:shd w:val="clear" w:color="auto" w:fill="FFFFFF"/>
          </w:tcPr>
          <w:p w14:paraId="37446137" w14:textId="77777777" w:rsidR="00985BBF" w:rsidRDefault="00785499">
            <w:pPr>
              <w:jc w:val="both"/>
            </w:pPr>
            <w:r>
              <w:t>Panevėžio lopšelis-darželis „Rūta“, įstaigos kodas - /190414144</w:t>
            </w:r>
            <w:r>
              <w:rPr>
                <w:i/>
              </w:rPr>
              <w:t>/</w:t>
            </w:r>
            <w:r>
              <w:t>, / biudžetinė, pelno nesiekianti savivaldybės įstaiga. Lopšelis-darželis įregistruotas juridinių asmenų registre 2004 m. gruodžio 8 d., registro Nr. 35/40832. Lopšelis-darželis yra ikimokyklinio ugdymo mokyklos tipas. Ugdymo forma – dieninė.</w:t>
            </w:r>
          </w:p>
        </w:tc>
      </w:tr>
    </w:tbl>
    <w:p w14:paraId="37446139" w14:textId="77777777" w:rsidR="00985BBF" w:rsidRDefault="00985BBF">
      <w:pPr>
        <w:jc w:val="both"/>
      </w:pPr>
    </w:p>
    <w:tbl>
      <w:tblPr>
        <w:tblW w:w="9874" w:type="dxa"/>
        <w:tblInd w:w="-226" w:type="dxa"/>
        <w:tblLook w:val="04A0" w:firstRow="1" w:lastRow="0" w:firstColumn="1" w:lastColumn="0" w:noHBand="0" w:noVBand="1"/>
      </w:tblPr>
      <w:tblGrid>
        <w:gridCol w:w="9874"/>
      </w:tblGrid>
      <w:tr w:rsidR="00985BBF" w14:paraId="3744613B" w14:textId="77777777">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3744613A" w14:textId="77777777" w:rsidR="00985BBF" w:rsidRDefault="00785499">
            <w:pPr>
              <w:jc w:val="both"/>
              <w:rPr>
                <w:i/>
              </w:rPr>
            </w:pPr>
            <w:r>
              <w:t>Adresas: Alyvų g. 3</w:t>
            </w:r>
            <w:r>
              <w:rPr>
                <w:i/>
              </w:rPr>
              <w:t>, LT-37446, Panevėžys, Lietuvos Respublika.</w:t>
            </w:r>
          </w:p>
        </w:tc>
      </w:tr>
    </w:tbl>
    <w:p w14:paraId="3744613C" w14:textId="77777777" w:rsidR="00985BBF" w:rsidRDefault="00985BBF">
      <w:pPr>
        <w:jc w:val="both"/>
      </w:pPr>
    </w:p>
    <w:p w14:paraId="3744613D" w14:textId="77777777" w:rsidR="00985BBF" w:rsidRDefault="00785499">
      <w:pPr>
        <w:jc w:val="both"/>
      </w:pPr>
      <w:r>
        <w:t>Subjektas užsiima ikimokyklinio ir priešmokyklinio ugdymo veikla.  Lopšelis-darželis savo veiklą grindžia Lietuvos Respublikos Konstitucija, Vaiko teisių konvencija, Lietuvos Respublikos įstatymais, Lietuvos Respublikos Vyriausybės nutarimais, Lietuvos Respublikos švietimo ir mokslo ministro įsakymais, Panevėžio miesto savivaldybės tarybos sprendimais, Panevėžio miesto savivaldybės administracijos įsakymais, kitais teisės  aktais, norminiais dokumentais, lopšelio-darželio nuostatais.</w:t>
      </w:r>
    </w:p>
    <w:p w14:paraId="3744613E" w14:textId="5C89CCF8" w:rsidR="00985BBF" w:rsidRDefault="00785499">
      <w:pPr>
        <w:tabs>
          <w:tab w:val="left" w:pos="8955"/>
        </w:tabs>
        <w:jc w:val="both"/>
      </w:pPr>
      <w:r>
        <w:t xml:space="preserve">Lopšelio-darželio finansinės  ataskaitos teikiamos    2022 metų </w:t>
      </w:r>
      <w:r w:rsidR="009355DE">
        <w:t>birželio</w:t>
      </w:r>
      <w:r>
        <w:t xml:space="preserve"> 3</w:t>
      </w:r>
      <w:r w:rsidR="009355DE">
        <w:t>0</w:t>
      </w:r>
      <w:r>
        <w:t xml:space="preserve"> d.</w:t>
      </w:r>
      <w:r>
        <w:tab/>
      </w:r>
    </w:p>
    <w:p w14:paraId="3744613F" w14:textId="77777777" w:rsidR="00985BBF" w:rsidRDefault="00785499">
      <w:pPr>
        <w:jc w:val="both"/>
      </w:pPr>
      <w:r>
        <w:t>Lopšelis-darželis filialų ir kitų struktūrinių padalinių neturi.</w:t>
      </w:r>
    </w:p>
    <w:p w14:paraId="37446140" w14:textId="77777777" w:rsidR="00985BBF" w:rsidRDefault="00785499">
      <w:pPr>
        <w:jc w:val="both"/>
      </w:pPr>
      <w:r>
        <w:t>Vidutinis darbuotojų skaičius per ataskaitinį laikotarpį buvo:</w:t>
      </w:r>
    </w:p>
    <w:p w14:paraId="37446141" w14:textId="77777777" w:rsidR="00985BBF" w:rsidRDefault="00985BBF">
      <w:pPr>
        <w:jc w:val="both"/>
      </w:pPr>
    </w:p>
    <w:tbl>
      <w:tblPr>
        <w:tblW w:w="5888" w:type="dxa"/>
        <w:tblInd w:w="-226" w:type="dxa"/>
        <w:tblLook w:val="04A0" w:firstRow="1" w:lastRow="0" w:firstColumn="1" w:lastColumn="0" w:noHBand="0" w:noVBand="1"/>
      </w:tblPr>
      <w:tblGrid>
        <w:gridCol w:w="2628"/>
        <w:gridCol w:w="3260"/>
      </w:tblGrid>
      <w:tr w:rsidR="00985BBF" w14:paraId="37446144" w14:textId="77777777">
        <w:tc>
          <w:tcPr>
            <w:tcW w:w="2628" w:type="dxa"/>
            <w:tcBorders>
              <w:top w:val="single" w:sz="4" w:space="0" w:color="000000"/>
              <w:left w:val="single" w:sz="4" w:space="0" w:color="000000"/>
              <w:bottom w:val="single" w:sz="4" w:space="0" w:color="000000"/>
            </w:tcBorders>
            <w:shd w:val="clear" w:color="auto" w:fill="auto"/>
          </w:tcPr>
          <w:p w14:paraId="37446142" w14:textId="77777777" w:rsidR="00985BBF" w:rsidRDefault="00785499">
            <w:pPr>
              <w:jc w:val="both"/>
            </w:pPr>
            <w:r>
              <w:t>Ataskaitinis laikotarpis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446143" w14:textId="77777777" w:rsidR="00985BBF" w:rsidRDefault="00785499">
            <w:pPr>
              <w:jc w:val="both"/>
            </w:pPr>
            <w:r>
              <w:t>Praėjęs ataskaitinis laikotarpis</w:t>
            </w:r>
          </w:p>
        </w:tc>
      </w:tr>
      <w:tr w:rsidR="00985BBF" w14:paraId="37446147" w14:textId="77777777">
        <w:tc>
          <w:tcPr>
            <w:tcW w:w="2628" w:type="dxa"/>
            <w:tcBorders>
              <w:top w:val="single" w:sz="4" w:space="0" w:color="000000"/>
              <w:left w:val="single" w:sz="4" w:space="0" w:color="000000"/>
              <w:bottom w:val="single" w:sz="4" w:space="0" w:color="000000"/>
            </w:tcBorders>
            <w:shd w:val="clear" w:color="auto" w:fill="auto"/>
          </w:tcPr>
          <w:p w14:paraId="37446145" w14:textId="77777777" w:rsidR="00985BBF" w:rsidRDefault="00785499">
            <w:pPr>
              <w:jc w:val="both"/>
            </w:pPr>
            <w:r>
              <w:t xml:space="preserve">           42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446146" w14:textId="77777777" w:rsidR="00985BBF" w:rsidRDefault="00785499">
            <w:pPr>
              <w:jc w:val="both"/>
            </w:pPr>
            <w:r>
              <w:t xml:space="preserve">           42</w:t>
            </w:r>
          </w:p>
        </w:tc>
      </w:tr>
    </w:tbl>
    <w:p w14:paraId="37446148" w14:textId="77777777" w:rsidR="00985BBF" w:rsidRDefault="00785499">
      <w:pPr>
        <w:jc w:val="both"/>
      </w:pPr>
      <w:r>
        <w:t>Sąlygos, kuriomis paremta veikla ir kurios gali paveikti tolesnę veiklą:</w:t>
      </w:r>
    </w:p>
    <w:p w14:paraId="37446149" w14:textId="77777777" w:rsidR="00985BBF" w:rsidRDefault="00985BBF">
      <w:pPr>
        <w:jc w:val="both"/>
      </w:pPr>
    </w:p>
    <w:tbl>
      <w:tblPr>
        <w:tblW w:w="9874" w:type="dxa"/>
        <w:tblInd w:w="-226" w:type="dxa"/>
        <w:tblLook w:val="04A0" w:firstRow="1" w:lastRow="0" w:firstColumn="1" w:lastColumn="0" w:noHBand="0" w:noVBand="1"/>
      </w:tblPr>
      <w:tblGrid>
        <w:gridCol w:w="9874"/>
      </w:tblGrid>
      <w:tr w:rsidR="00985BBF" w14:paraId="3744614B" w14:textId="77777777">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3744614A" w14:textId="77777777" w:rsidR="00985BBF" w:rsidRDefault="00785499">
            <w:pPr>
              <w:jc w:val="both"/>
            </w:pPr>
            <w:r>
              <w:t>Lopšelis-darželis veikia, esant pakankamam įstaigos finansavimui ir vaikų skaičiui. Tolesnę veiklą paveikti gali vaikų gimstamumo mažėjimas, emigracija, pradinio ugdymo mokyklose ankstinimas.</w:t>
            </w:r>
          </w:p>
        </w:tc>
      </w:tr>
    </w:tbl>
    <w:p w14:paraId="3744614C" w14:textId="77777777" w:rsidR="00985BBF" w:rsidRDefault="00985BBF">
      <w:pPr>
        <w:jc w:val="both"/>
      </w:pPr>
    </w:p>
    <w:p w14:paraId="3744614D" w14:textId="77777777" w:rsidR="00985BBF" w:rsidRDefault="00785499">
      <w:pPr>
        <w:jc w:val="both"/>
      </w:pPr>
      <w:r>
        <w:t>Ataskaitinio laikotarpio trukmė, jei veikla nebuvo vykdoma visus finansinius metus (data nuo iki)</w:t>
      </w:r>
    </w:p>
    <w:tbl>
      <w:tblPr>
        <w:tblW w:w="22140" w:type="dxa"/>
        <w:tblInd w:w="-226" w:type="dxa"/>
        <w:tblLook w:val="04A0" w:firstRow="1" w:lastRow="0" w:firstColumn="1" w:lastColumn="0" w:noHBand="0" w:noVBand="1"/>
      </w:tblPr>
      <w:tblGrid>
        <w:gridCol w:w="9845"/>
        <w:gridCol w:w="29"/>
        <w:gridCol w:w="1222"/>
        <w:gridCol w:w="1660"/>
        <w:gridCol w:w="9384"/>
      </w:tblGrid>
      <w:tr w:rsidR="00985BBF" w14:paraId="37446150" w14:textId="77777777">
        <w:tc>
          <w:tcPr>
            <w:tcW w:w="9874" w:type="dxa"/>
            <w:gridSpan w:val="2"/>
            <w:tcBorders>
              <w:top w:val="single" w:sz="4" w:space="0" w:color="000000"/>
              <w:left w:val="single" w:sz="4" w:space="0" w:color="000000"/>
              <w:bottom w:val="single" w:sz="4" w:space="0" w:color="000000"/>
            </w:tcBorders>
            <w:shd w:val="clear" w:color="auto" w:fill="auto"/>
          </w:tcPr>
          <w:p w14:paraId="3744614E" w14:textId="4C543921" w:rsidR="00985BBF" w:rsidRDefault="00785499" w:rsidP="000B6BA5">
            <w:pPr>
              <w:jc w:val="both"/>
            </w:pPr>
            <w:r>
              <w:t>Lopšelio-darželio veiklos ataskaitinio laikotarpio trukmė - nuo 2022-01-01 iki 2022-0</w:t>
            </w:r>
            <w:r w:rsidR="000B6BA5">
              <w:t>6</w:t>
            </w:r>
            <w:r>
              <w:t>-3</w:t>
            </w:r>
            <w:r w:rsidR="000B6BA5">
              <w:t>0</w:t>
            </w:r>
            <w:r>
              <w:t>.</w:t>
            </w:r>
          </w:p>
        </w:tc>
        <w:tc>
          <w:tcPr>
            <w:tcW w:w="12266" w:type="dxa"/>
            <w:gridSpan w:val="3"/>
            <w:tcBorders>
              <w:left w:val="single" w:sz="4" w:space="0" w:color="000000"/>
            </w:tcBorders>
            <w:shd w:val="clear" w:color="auto" w:fill="auto"/>
            <w:tcMar>
              <w:left w:w="0" w:type="dxa"/>
              <w:right w:w="0" w:type="dxa"/>
            </w:tcMar>
          </w:tcPr>
          <w:p w14:paraId="3744614F" w14:textId="77777777" w:rsidR="00985BBF" w:rsidRDefault="00985BBF">
            <w:pPr>
              <w:snapToGrid w:val="0"/>
            </w:pPr>
          </w:p>
        </w:tc>
      </w:tr>
      <w:tr w:rsidR="00985BBF" w14:paraId="37446154" w14:textId="77777777">
        <w:trPr>
          <w:trHeight w:val="255"/>
        </w:trPr>
        <w:tc>
          <w:tcPr>
            <w:tcW w:w="11096" w:type="dxa"/>
            <w:gridSpan w:val="3"/>
            <w:shd w:val="clear" w:color="auto" w:fill="auto"/>
            <w:tcMar>
              <w:left w:w="0" w:type="dxa"/>
              <w:right w:w="0" w:type="dxa"/>
            </w:tcMar>
          </w:tcPr>
          <w:p w14:paraId="37446151" w14:textId="77777777" w:rsidR="00985BBF" w:rsidRDefault="00985BBF">
            <w:pPr>
              <w:pStyle w:val="TableContents"/>
            </w:pPr>
          </w:p>
        </w:tc>
        <w:tc>
          <w:tcPr>
            <w:tcW w:w="1660" w:type="dxa"/>
            <w:shd w:val="clear" w:color="auto" w:fill="FFFFFF"/>
            <w:vAlign w:val="center"/>
          </w:tcPr>
          <w:p w14:paraId="37446152" w14:textId="77777777" w:rsidR="00985BBF" w:rsidRDefault="00985BBF">
            <w:pPr>
              <w:snapToGrid w:val="0"/>
              <w:jc w:val="both"/>
              <w:rPr>
                <w:b/>
                <w:bCs/>
                <w:sz w:val="20"/>
                <w:szCs w:val="20"/>
              </w:rPr>
            </w:pPr>
          </w:p>
        </w:tc>
        <w:tc>
          <w:tcPr>
            <w:tcW w:w="9374" w:type="dxa"/>
            <w:shd w:val="clear" w:color="auto" w:fill="auto"/>
            <w:vAlign w:val="center"/>
          </w:tcPr>
          <w:p w14:paraId="37446153" w14:textId="77777777" w:rsidR="00985BBF" w:rsidRDefault="00985BBF">
            <w:pPr>
              <w:snapToGrid w:val="0"/>
              <w:jc w:val="both"/>
              <w:rPr>
                <w:rFonts w:ascii="Arial" w:hAnsi="Arial" w:cs="Arial"/>
                <w:b/>
                <w:bCs/>
                <w:sz w:val="20"/>
                <w:szCs w:val="20"/>
              </w:rPr>
            </w:pPr>
          </w:p>
        </w:tc>
      </w:tr>
      <w:tr w:rsidR="00985BBF" w14:paraId="37446158" w14:textId="77777777">
        <w:trPr>
          <w:trHeight w:val="255"/>
        </w:trPr>
        <w:tc>
          <w:tcPr>
            <w:tcW w:w="11096" w:type="dxa"/>
            <w:gridSpan w:val="3"/>
            <w:shd w:val="clear" w:color="auto" w:fill="auto"/>
            <w:tcMar>
              <w:left w:w="0" w:type="dxa"/>
              <w:right w:w="0" w:type="dxa"/>
            </w:tcMar>
          </w:tcPr>
          <w:p w14:paraId="37446155" w14:textId="77777777" w:rsidR="00985BBF" w:rsidRDefault="00985BBF">
            <w:pPr>
              <w:rPr>
                <w:rFonts w:ascii="Arial" w:hAnsi="Arial" w:cs="Arial"/>
                <w:b/>
                <w:bCs/>
                <w:sz w:val="20"/>
                <w:szCs w:val="20"/>
              </w:rPr>
            </w:pPr>
          </w:p>
        </w:tc>
        <w:tc>
          <w:tcPr>
            <w:tcW w:w="1660" w:type="dxa"/>
            <w:shd w:val="clear" w:color="auto" w:fill="FFFFFF"/>
            <w:vAlign w:val="center"/>
          </w:tcPr>
          <w:p w14:paraId="37446156" w14:textId="77777777" w:rsidR="00985BBF" w:rsidRDefault="00985BBF">
            <w:pPr>
              <w:snapToGrid w:val="0"/>
              <w:jc w:val="both"/>
              <w:rPr>
                <w:sz w:val="20"/>
                <w:szCs w:val="20"/>
              </w:rPr>
            </w:pPr>
          </w:p>
        </w:tc>
        <w:tc>
          <w:tcPr>
            <w:tcW w:w="9374" w:type="dxa"/>
            <w:shd w:val="clear" w:color="auto" w:fill="FFFFFF"/>
            <w:vAlign w:val="center"/>
          </w:tcPr>
          <w:p w14:paraId="37446157" w14:textId="77777777" w:rsidR="00985BBF" w:rsidRDefault="00785499">
            <w:pPr>
              <w:jc w:val="both"/>
              <w:rPr>
                <w:rFonts w:ascii="Arial" w:hAnsi="Arial" w:cs="Arial"/>
                <w:sz w:val="20"/>
                <w:szCs w:val="20"/>
              </w:rPr>
            </w:pPr>
            <w:r>
              <w:rPr>
                <w:rFonts w:ascii="Arial" w:hAnsi="Arial" w:cs="Arial"/>
                <w:sz w:val="20"/>
                <w:szCs w:val="20"/>
              </w:rPr>
              <w:t> </w:t>
            </w:r>
          </w:p>
        </w:tc>
      </w:tr>
      <w:tr w:rsidR="00985BBF" w14:paraId="3744615B" w14:textId="77777777">
        <w:trPr>
          <w:trHeight w:val="645"/>
        </w:trPr>
        <w:tc>
          <w:tcPr>
            <w:tcW w:w="9845" w:type="dxa"/>
            <w:tcBorders>
              <w:top w:val="single" w:sz="4" w:space="0" w:color="000000"/>
              <w:left w:val="single" w:sz="4" w:space="0" w:color="000000"/>
              <w:bottom w:val="single" w:sz="4" w:space="0" w:color="000000"/>
            </w:tcBorders>
            <w:shd w:val="clear" w:color="auto" w:fill="auto"/>
            <w:vAlign w:val="center"/>
          </w:tcPr>
          <w:p w14:paraId="37446159" w14:textId="77777777" w:rsidR="00985BBF" w:rsidRDefault="00785499">
            <w:pPr>
              <w:jc w:val="both"/>
              <w:rPr>
                <w:b/>
                <w:bCs/>
              </w:rPr>
            </w:pPr>
            <w:r>
              <w:rPr>
                <w:b/>
                <w:bCs/>
              </w:rPr>
              <w:t>Lopšelis-darželis kontroliuojamų, asocijuotų ir kitų subjektų neturi.</w:t>
            </w:r>
          </w:p>
        </w:tc>
        <w:tc>
          <w:tcPr>
            <w:tcW w:w="12295" w:type="dxa"/>
            <w:gridSpan w:val="4"/>
            <w:tcBorders>
              <w:left w:val="single" w:sz="4" w:space="0" w:color="000000"/>
            </w:tcBorders>
            <w:shd w:val="clear" w:color="auto" w:fill="auto"/>
            <w:tcMar>
              <w:left w:w="0" w:type="dxa"/>
              <w:right w:w="0" w:type="dxa"/>
            </w:tcMar>
          </w:tcPr>
          <w:p w14:paraId="3744615A" w14:textId="77777777" w:rsidR="00985BBF" w:rsidRDefault="00985BBF">
            <w:pPr>
              <w:snapToGrid w:val="0"/>
            </w:pPr>
          </w:p>
        </w:tc>
      </w:tr>
      <w:tr w:rsidR="00985BBF" w14:paraId="3744615F" w14:textId="77777777">
        <w:trPr>
          <w:trHeight w:val="255"/>
        </w:trPr>
        <w:tc>
          <w:tcPr>
            <w:tcW w:w="11096" w:type="dxa"/>
            <w:gridSpan w:val="3"/>
            <w:shd w:val="clear" w:color="auto" w:fill="auto"/>
            <w:tcMar>
              <w:left w:w="0" w:type="dxa"/>
              <w:right w:w="0" w:type="dxa"/>
            </w:tcMar>
          </w:tcPr>
          <w:p w14:paraId="3744615C" w14:textId="77777777" w:rsidR="00985BBF" w:rsidRDefault="00985BBF">
            <w:pPr>
              <w:pStyle w:val="TableContents"/>
            </w:pPr>
          </w:p>
        </w:tc>
        <w:tc>
          <w:tcPr>
            <w:tcW w:w="1660" w:type="dxa"/>
            <w:shd w:val="clear" w:color="auto" w:fill="FFFFFF"/>
            <w:vAlign w:val="center"/>
          </w:tcPr>
          <w:p w14:paraId="3744615D" w14:textId="77777777" w:rsidR="00985BBF" w:rsidRDefault="00785499">
            <w:pPr>
              <w:jc w:val="both"/>
              <w:rPr>
                <w:b/>
                <w:bCs/>
              </w:rPr>
            </w:pPr>
            <w:r>
              <w:rPr>
                <w:b/>
                <w:bCs/>
              </w:rPr>
              <w:t> </w:t>
            </w:r>
          </w:p>
        </w:tc>
        <w:tc>
          <w:tcPr>
            <w:tcW w:w="9374" w:type="dxa"/>
            <w:shd w:val="clear" w:color="auto" w:fill="FFFFFF"/>
            <w:vAlign w:val="center"/>
          </w:tcPr>
          <w:p w14:paraId="3744615E" w14:textId="77777777" w:rsidR="00985BBF" w:rsidRDefault="00785499">
            <w:pPr>
              <w:jc w:val="both"/>
              <w:rPr>
                <w:b/>
                <w:bCs/>
              </w:rPr>
            </w:pPr>
            <w:r>
              <w:rPr>
                <w:b/>
                <w:bCs/>
              </w:rPr>
              <w:t> </w:t>
            </w:r>
          </w:p>
        </w:tc>
      </w:tr>
    </w:tbl>
    <w:p w14:paraId="37446160" w14:textId="77777777" w:rsidR="00985BBF" w:rsidRDefault="00785499">
      <w:pPr>
        <w:widowControl w:val="0"/>
        <w:shd w:val="clear" w:color="auto" w:fill="FFFFFF"/>
        <w:autoSpaceDE w:val="0"/>
        <w:jc w:val="both"/>
      </w:pPr>
      <w:r>
        <w:t>Finansinių ataskaitų forma taikoma lošelyje darželyje „Rūta“:</w:t>
      </w:r>
    </w:p>
    <w:tbl>
      <w:tblPr>
        <w:tblW w:w="9874" w:type="dxa"/>
        <w:tblInd w:w="-226" w:type="dxa"/>
        <w:tblLook w:val="04A0" w:firstRow="1" w:lastRow="0" w:firstColumn="1" w:lastColumn="0" w:noHBand="0" w:noVBand="1"/>
      </w:tblPr>
      <w:tblGrid>
        <w:gridCol w:w="9874"/>
      </w:tblGrid>
      <w:tr w:rsidR="00985BBF" w14:paraId="37446162" w14:textId="77777777">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37446161" w14:textId="77777777" w:rsidR="00985BBF" w:rsidRDefault="00785499">
            <w:pPr>
              <w:widowControl w:val="0"/>
              <w:autoSpaceDE w:val="0"/>
              <w:jc w:val="both"/>
            </w:pPr>
            <w:r>
              <w:t>VSAFAS žemesniojo lygio finansinių ataskaitų formos.</w:t>
            </w:r>
          </w:p>
        </w:tc>
      </w:tr>
    </w:tbl>
    <w:p w14:paraId="37446163" w14:textId="77777777" w:rsidR="00985BBF" w:rsidRDefault="00985BBF">
      <w:pPr>
        <w:widowControl w:val="0"/>
        <w:shd w:val="clear" w:color="auto" w:fill="FFFFFF"/>
        <w:autoSpaceDE w:val="0"/>
        <w:ind w:left="737"/>
        <w:jc w:val="both"/>
      </w:pPr>
    </w:p>
    <w:p w14:paraId="37446164" w14:textId="77777777" w:rsidR="00985BBF" w:rsidRDefault="00985BBF">
      <w:pPr>
        <w:widowControl w:val="0"/>
        <w:shd w:val="clear" w:color="auto" w:fill="FFFFFF"/>
        <w:autoSpaceDE w:val="0"/>
        <w:ind w:left="737"/>
        <w:jc w:val="both"/>
      </w:pPr>
    </w:p>
    <w:tbl>
      <w:tblPr>
        <w:tblW w:w="9874" w:type="dxa"/>
        <w:tblInd w:w="-226" w:type="dxa"/>
        <w:tblLook w:val="04A0" w:firstRow="1" w:lastRow="0" w:firstColumn="1" w:lastColumn="0" w:noHBand="0" w:noVBand="1"/>
      </w:tblPr>
      <w:tblGrid>
        <w:gridCol w:w="9874"/>
      </w:tblGrid>
      <w:tr w:rsidR="00985BBF" w14:paraId="37446166" w14:textId="77777777">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37446165" w14:textId="77777777" w:rsidR="00985BBF" w:rsidRDefault="00785499">
            <w:pPr>
              <w:widowControl w:val="0"/>
              <w:autoSpaceDE w:val="0"/>
              <w:jc w:val="both"/>
            </w:pPr>
            <w:r>
              <w:t xml:space="preserve">Finansinėse ataskaitose pateikiami duomenys išreikšti Lietuvos Respublikos piniginiais vienetais – EUR- ais. </w:t>
            </w:r>
          </w:p>
        </w:tc>
      </w:tr>
    </w:tbl>
    <w:p w14:paraId="37446167" w14:textId="77777777" w:rsidR="00985BBF" w:rsidRDefault="00985BBF">
      <w:pPr>
        <w:jc w:val="both"/>
      </w:pPr>
    </w:p>
    <w:p w14:paraId="37446168" w14:textId="77777777" w:rsidR="00985BBF" w:rsidRDefault="00985BBF">
      <w:pPr>
        <w:jc w:val="both"/>
      </w:pPr>
    </w:p>
    <w:p w14:paraId="37446169" w14:textId="77777777" w:rsidR="00985BBF" w:rsidRDefault="00785499">
      <w:pPr>
        <w:numPr>
          <w:ilvl w:val="0"/>
          <w:numId w:val="5"/>
        </w:numPr>
        <w:ind w:left="425"/>
        <w:jc w:val="both"/>
        <w:rPr>
          <w:b/>
          <w:sz w:val="28"/>
          <w:szCs w:val="28"/>
        </w:rPr>
      </w:pPr>
      <w:r>
        <w:rPr>
          <w:b/>
          <w:sz w:val="28"/>
          <w:szCs w:val="28"/>
        </w:rPr>
        <w:t>Apskaitos politika</w:t>
      </w:r>
    </w:p>
    <w:p w14:paraId="3744616A" w14:textId="77777777" w:rsidR="00985BBF" w:rsidRDefault="00785499">
      <w:r>
        <w:lastRenderedPageBreak/>
        <w:t xml:space="preserve">     Išsamiai apskaitos politika aprašyta 2021 m. metinių finansinių ataskaitų rinkinyje, kuris paskelbtas įstaigos interneto svetainėje, adresu </w:t>
      </w:r>
      <w:hyperlink r:id="rId8">
        <w:r>
          <w:rPr>
            <w:rStyle w:val="InternetLink"/>
          </w:rPr>
          <w:t>https://www.ld-ruta.lt/administracine-informacija/finansines-ataskaitos/</w:t>
        </w:r>
      </w:hyperlink>
      <w:r>
        <w:t>.</w:t>
      </w:r>
    </w:p>
    <w:p w14:paraId="3744616B" w14:textId="77777777" w:rsidR="00985BBF" w:rsidRDefault="00985BBF">
      <w:pPr>
        <w:ind w:left="425"/>
        <w:jc w:val="both"/>
        <w:rPr>
          <w:sz w:val="28"/>
          <w:szCs w:val="28"/>
        </w:rPr>
      </w:pPr>
    </w:p>
    <w:p w14:paraId="3744616C" w14:textId="77777777" w:rsidR="00985BBF" w:rsidRDefault="00785499">
      <w:pPr>
        <w:numPr>
          <w:ilvl w:val="0"/>
          <w:numId w:val="5"/>
        </w:numPr>
        <w:ind w:left="425"/>
        <w:jc w:val="both"/>
        <w:rPr>
          <w:b/>
          <w:sz w:val="28"/>
          <w:szCs w:val="28"/>
        </w:rPr>
      </w:pPr>
      <w:r>
        <w:rPr>
          <w:b/>
          <w:sz w:val="28"/>
          <w:szCs w:val="28"/>
        </w:rPr>
        <w:t>Pastabos</w:t>
      </w:r>
    </w:p>
    <w:p w14:paraId="3744616D" w14:textId="77777777" w:rsidR="00985BBF" w:rsidRDefault="00985BBF">
      <w:pPr>
        <w:ind w:left="425"/>
        <w:jc w:val="both"/>
        <w:rPr>
          <w:b/>
          <w:sz w:val="28"/>
          <w:szCs w:val="28"/>
        </w:rPr>
      </w:pPr>
    </w:p>
    <w:p w14:paraId="3744616E" w14:textId="77777777" w:rsidR="00985BBF" w:rsidRDefault="00785499">
      <w:pPr>
        <w:ind w:firstLine="1296"/>
        <w:jc w:val="both"/>
        <w:rPr>
          <w:b/>
          <w:bCs/>
        </w:rPr>
      </w:pPr>
      <w:r>
        <w:rPr>
          <w:b/>
          <w:bCs/>
        </w:rPr>
        <w:t>P03  Nematerialusis turtas ( 13 VSAFAS, 22 VSAFAS) ;</w:t>
      </w:r>
    </w:p>
    <w:p w14:paraId="3744616F" w14:textId="77777777" w:rsidR="00985BBF" w:rsidRDefault="00985BBF">
      <w:pPr>
        <w:jc w:val="both"/>
        <w:rPr>
          <w:b/>
          <w:bCs/>
        </w:rPr>
      </w:pPr>
    </w:p>
    <w:tbl>
      <w:tblPr>
        <w:tblW w:w="9874" w:type="dxa"/>
        <w:tblInd w:w="-226" w:type="dxa"/>
        <w:tblLook w:val="04A0" w:firstRow="1" w:lastRow="0" w:firstColumn="1" w:lastColumn="0" w:noHBand="0" w:noVBand="1"/>
      </w:tblPr>
      <w:tblGrid>
        <w:gridCol w:w="9874"/>
      </w:tblGrid>
      <w:tr w:rsidR="00985BBF" w14:paraId="37446171" w14:textId="77777777">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37446170" w14:textId="77777777" w:rsidR="00985BBF" w:rsidRDefault="00785499">
            <w:pPr>
              <w:jc w:val="both"/>
              <w:rPr>
                <w:bCs/>
              </w:rPr>
            </w:pPr>
            <w:r>
              <w:rPr>
                <w:bCs/>
              </w:rPr>
              <w:t>Įstaiga neriboto naudingo tarnavimo laiko nematerialiojo turto neturi.</w:t>
            </w:r>
          </w:p>
        </w:tc>
      </w:tr>
    </w:tbl>
    <w:p w14:paraId="37446172" w14:textId="77777777" w:rsidR="00985BBF" w:rsidRDefault="00785499">
      <w:pPr>
        <w:ind w:firstLine="708"/>
        <w:jc w:val="both"/>
        <w:rPr>
          <w:bCs/>
        </w:rPr>
      </w:pPr>
      <w:r>
        <w:rPr>
          <w:bCs/>
        </w:rPr>
        <w:t>Nematerialiojo turto, kuris yra visiškai amortizuotas, bet dar naudojamas įstaigos veikloje, lopšelis-darželis  turi - tai programinė įranga. buhalterinės programos „Biudžetas VS“ įsigijimo savikaina 236,62 €.</w:t>
      </w:r>
    </w:p>
    <w:p w14:paraId="37446173" w14:textId="77777777" w:rsidR="00985BBF" w:rsidRDefault="00785499">
      <w:pPr>
        <w:jc w:val="both"/>
      </w:pPr>
      <w:r>
        <w:rPr>
          <w:bCs/>
        </w:rPr>
        <w:t>2018 metais Panevėžio miesto savivaldybės administracija perdavė įstaigai valdyti, naudoti ir disponuoti  patikėjimo teise šį ilgalaikį nematerialųjį turtą:   dokumentų valdymo sistemos „Avilys“ licenziją (5 darbo vietos). Vieneto įsigijimo vertė – 300,0 €. Ši programa  įvesta į eksploataciją nuo 2019 m. sausio 1 d. 2021 m. perskaičiuotas programinės įrangos „Avilio“ nusidėvėjimas, ryšium su pasikeitusiais viešojo sektoriaus ilgalaikio turto nusidevėjimo normatyvais (Panevėžio miesto savivaldybės administracijos direktoriaus įsakymu Nr.A-695). Buvo normatyvas 5 metai, naujas—1 metai. Perskaičiaavus „Avilio“ likutinė vertė lygi 0,0 €.</w:t>
      </w:r>
    </w:p>
    <w:p w14:paraId="37446174" w14:textId="77777777" w:rsidR="00985BBF" w:rsidRDefault="00985BBF">
      <w:pPr>
        <w:ind w:firstLine="708"/>
        <w:jc w:val="both"/>
        <w:rPr>
          <w:bCs/>
        </w:rPr>
      </w:pPr>
    </w:p>
    <w:p w14:paraId="37446175" w14:textId="77777777" w:rsidR="00985BBF" w:rsidRDefault="00785499">
      <w:pPr>
        <w:ind w:firstLine="1296"/>
        <w:jc w:val="both"/>
        <w:rPr>
          <w:b/>
          <w:bCs/>
        </w:rPr>
      </w:pPr>
      <w:r>
        <w:rPr>
          <w:b/>
          <w:bCs/>
        </w:rPr>
        <w:t>P04 Ilgalaikis materialusis turtas ( 12 VSAFAS, 22 VSAFAS) ;</w:t>
      </w:r>
    </w:p>
    <w:p w14:paraId="37446176" w14:textId="77777777" w:rsidR="00985BBF" w:rsidRDefault="00985BBF">
      <w:pPr>
        <w:ind w:firstLine="1296"/>
        <w:jc w:val="both"/>
        <w:rPr>
          <w:b/>
          <w:bCs/>
        </w:rPr>
      </w:pPr>
    </w:p>
    <w:p w14:paraId="37446177" w14:textId="77777777" w:rsidR="00985BBF" w:rsidRDefault="00785499">
      <w:pPr>
        <w:ind w:firstLine="567"/>
        <w:jc w:val="both"/>
      </w:pPr>
      <w:r>
        <w:t>Ilgalaikis materialusis turtas ir visos su juo susijusios operacijos registruojamos 1 klasės 12 grupės sąskaitų plano sąskaitose.</w:t>
      </w:r>
    </w:p>
    <w:p w14:paraId="37446178" w14:textId="77777777" w:rsidR="00985BBF" w:rsidRDefault="00785499">
      <w:pPr>
        <w:ind w:firstLine="567"/>
        <w:jc w:val="both"/>
      </w:pPr>
      <w:r>
        <w:t xml:space="preserve">Ilgalaikio materialaus turto įsigijimo savikaina laikotarpio pradžioje sudarė 478276,10 €. Per šį laikotarpį nebuvo įsigytas nei nurašytas ilgalaikis materaialusis  turtas, </w:t>
      </w:r>
    </w:p>
    <w:p w14:paraId="37446179" w14:textId="6291F068" w:rsidR="00985BBF" w:rsidRDefault="00785499">
      <w:pPr>
        <w:ind w:firstLine="567"/>
        <w:jc w:val="both"/>
      </w:pPr>
      <w:r>
        <w:t xml:space="preserve">Ataskaitinių metų pradžioje sukaupta nusidėvėjimo už 185652,95 €. Per ataskaitinį laikotarpį sukaupta nusidėvėjimo už </w:t>
      </w:r>
      <w:r w:rsidR="000B6BA5">
        <w:t>7253,82</w:t>
      </w:r>
      <w:r>
        <w:t xml:space="preserve"> €. Viso sukaupta nusidėvėjimo ataskaitinio laikotarpio pabaigoje už </w:t>
      </w:r>
      <w:r w:rsidR="000B6BA5">
        <w:t>192906,77</w:t>
      </w:r>
      <w:r>
        <w:t xml:space="preserve"> €. </w:t>
      </w:r>
    </w:p>
    <w:p w14:paraId="3744617A" w14:textId="14050068" w:rsidR="00985BBF" w:rsidRDefault="00785499">
      <w:pPr>
        <w:ind w:firstLine="567"/>
        <w:jc w:val="both"/>
      </w:pPr>
      <w:r>
        <w:t xml:space="preserve">Ilgalaikio materialinio turto likutinė vertė ataskaitinio laikotarpio pabaigoje sudarė </w:t>
      </w:r>
      <w:r w:rsidR="000F2C6E">
        <w:t>285369,33</w:t>
      </w:r>
      <w:r>
        <w:t xml:space="preserve"> €.</w:t>
      </w:r>
    </w:p>
    <w:p w14:paraId="3744617B" w14:textId="53ACC488" w:rsidR="00985BBF" w:rsidRDefault="00785499">
      <w:pPr>
        <w:ind w:firstLine="567"/>
        <w:jc w:val="both"/>
      </w:pPr>
      <w:r>
        <w:t xml:space="preserve">Materialiojo turto, kuris yra visiškai nudevėtas, tačiau vis dar naudojamas veikloje, įsigijimo savikaina ataskaitinio laikotarpio pabaigoje sudaro </w:t>
      </w:r>
      <w:r w:rsidR="00D27F65">
        <w:t xml:space="preserve">6581,56 </w:t>
      </w:r>
      <w:r>
        <w:t>€ .</w:t>
      </w:r>
    </w:p>
    <w:p w14:paraId="3744617C" w14:textId="77777777" w:rsidR="00985BBF" w:rsidRDefault="00985BBF">
      <w:pPr>
        <w:jc w:val="both"/>
        <w:rPr>
          <w:b/>
        </w:rPr>
      </w:pPr>
    </w:p>
    <w:p w14:paraId="3744617D" w14:textId="77777777" w:rsidR="00985BBF" w:rsidRDefault="00785499">
      <w:pPr>
        <w:ind w:left="1416"/>
        <w:jc w:val="both"/>
        <w:rPr>
          <w:b/>
        </w:rPr>
      </w:pPr>
      <w:r>
        <w:rPr>
          <w:b/>
        </w:rPr>
        <w:t>P08 Atsargos (8 VSAFAS, 22 VSAFAS) ;</w:t>
      </w:r>
    </w:p>
    <w:p w14:paraId="3744617E" w14:textId="77777777" w:rsidR="00985BBF" w:rsidRDefault="00985BBF">
      <w:pPr>
        <w:ind w:left="1416"/>
        <w:jc w:val="both"/>
        <w:rPr>
          <w:b/>
        </w:rPr>
      </w:pPr>
    </w:p>
    <w:p w14:paraId="3744617F" w14:textId="427741A8" w:rsidR="00985BBF" w:rsidRDefault="00785499">
      <w:pPr>
        <w:ind w:firstLine="708"/>
        <w:jc w:val="both"/>
      </w:pPr>
      <w:r>
        <w:t xml:space="preserve">Atsargų likutis ataskaitinio laikotarpio pradžioje sudarė 882,87 €. Atsargų  per ataskaitinį laikotarpį įsigyta už </w:t>
      </w:r>
      <w:r w:rsidR="00AF72D0">
        <w:t>37132,26</w:t>
      </w:r>
      <w:r>
        <w:t xml:space="preserve"> € :</w:t>
      </w:r>
    </w:p>
    <w:p w14:paraId="37446180" w14:textId="1E5EA77C" w:rsidR="00985BBF" w:rsidRDefault="00785499">
      <w:pPr>
        <w:ind w:firstLine="708"/>
        <w:jc w:val="both"/>
      </w:pPr>
      <w:r>
        <w:t xml:space="preserve">- parama </w:t>
      </w:r>
      <w:r w:rsidR="00AF72D0">
        <w:t>pieno vaisių</w:t>
      </w:r>
      <w:r>
        <w:t xml:space="preserve"> – </w:t>
      </w:r>
      <w:r w:rsidR="00AF72D0">
        <w:t>1265,55</w:t>
      </w:r>
      <w:r>
        <w:t xml:space="preserve"> €, </w:t>
      </w:r>
      <w:r w:rsidR="00AF72D0">
        <w:t>(AB „Žemaitijos pienas“- 757,97 €</w:t>
      </w:r>
      <w:r w:rsidR="00845043">
        <w:t>, gautas finansavimas 429,48 € ir UAB „Panevėžio bičiulis“- 507,58 €, gautas visas finansavimas);</w:t>
      </w:r>
    </w:p>
    <w:p w14:paraId="37446181" w14:textId="1C025712" w:rsidR="00985BBF" w:rsidRDefault="00785499">
      <w:pPr>
        <w:ind w:firstLine="708"/>
        <w:jc w:val="both"/>
      </w:pPr>
      <w:r>
        <w:t xml:space="preserve">- maisto produktai – </w:t>
      </w:r>
      <w:r w:rsidR="00AF72D0">
        <w:t>27762,47</w:t>
      </w:r>
      <w:r>
        <w:t xml:space="preserve"> €,</w:t>
      </w:r>
    </w:p>
    <w:p w14:paraId="37446182" w14:textId="2882D8D9" w:rsidR="00985BBF" w:rsidRDefault="00785499">
      <w:pPr>
        <w:ind w:firstLine="708"/>
        <w:jc w:val="both"/>
      </w:pPr>
      <w:r>
        <w:t xml:space="preserve">- ūkinis inventorius – </w:t>
      </w:r>
      <w:r w:rsidR="00AF72D0">
        <w:t>3745,78</w:t>
      </w:r>
      <w:r>
        <w:t xml:space="preserve"> € (edukacinė programa tentai, pristatomas stalas</w:t>
      </w:r>
      <w:r w:rsidR="00AF72D0">
        <w:t>,</w:t>
      </w:r>
      <w:r>
        <w:t xml:space="preserve"> ugdymo</w:t>
      </w:r>
      <w:r w:rsidR="00AF72D0">
        <w:t xml:space="preserve"> priemonė – laipiojimo rinkinys, baldai grupėms, šaldytuvas maisto sandėliui,naujos sudėties vaistinėlės ir kt.)</w:t>
      </w:r>
    </w:p>
    <w:p w14:paraId="37446183" w14:textId="6106F4A1" w:rsidR="00985BBF" w:rsidRDefault="00785499">
      <w:pPr>
        <w:ind w:firstLine="708"/>
        <w:jc w:val="both"/>
      </w:pPr>
      <w:r>
        <w:t xml:space="preserve">- </w:t>
      </w:r>
      <w:r w:rsidR="00AF72D0">
        <w:t>3323,90</w:t>
      </w:r>
      <w:r>
        <w:t xml:space="preserve"> €</w:t>
      </w:r>
      <w:r w:rsidR="00AF72D0">
        <w:t xml:space="preserve"> medžiagos (valymo priemonės, ūki</w:t>
      </w:r>
      <w:r>
        <w:t xml:space="preserve">nės prekės, kanceliarinės prekės) </w:t>
      </w:r>
      <w:r w:rsidR="00AF72D0">
        <w:t>;</w:t>
      </w:r>
    </w:p>
    <w:p w14:paraId="37446184" w14:textId="127EAFF2" w:rsidR="00985BBF" w:rsidRDefault="00785499">
      <w:pPr>
        <w:ind w:firstLine="708"/>
        <w:jc w:val="both"/>
      </w:pPr>
      <w:r>
        <w:t xml:space="preserve">- medikamentai – </w:t>
      </w:r>
      <w:r w:rsidR="00AF72D0">
        <w:t>1034,56</w:t>
      </w:r>
      <w:r>
        <w:t xml:space="preserve"> € .</w:t>
      </w:r>
    </w:p>
    <w:p w14:paraId="37446185" w14:textId="4F0C664E" w:rsidR="00985BBF" w:rsidRDefault="00785499">
      <w:pPr>
        <w:ind w:firstLine="709"/>
        <w:jc w:val="both"/>
      </w:pPr>
      <w:r>
        <w:t xml:space="preserve">Sunaudota atsargų veikloje per ataskaitinį laikotarpį už  </w:t>
      </w:r>
      <w:r w:rsidR="00AF72D0">
        <w:t>36543,41</w:t>
      </w:r>
      <w:r>
        <w:t xml:space="preserve"> €.</w:t>
      </w:r>
    </w:p>
    <w:p w14:paraId="37446186" w14:textId="4E87ED01" w:rsidR="00985BBF" w:rsidRDefault="00785499">
      <w:pPr>
        <w:ind w:firstLine="709"/>
        <w:jc w:val="both"/>
      </w:pPr>
      <w:r>
        <w:t xml:space="preserve">Atsargų likutis 2022 m. </w:t>
      </w:r>
      <w:r w:rsidR="002E3C8B">
        <w:t>birželio</w:t>
      </w:r>
      <w:r>
        <w:t xml:space="preserve"> 3</w:t>
      </w:r>
      <w:r w:rsidR="002E3C8B">
        <w:t>0</w:t>
      </w:r>
      <w:r>
        <w:t xml:space="preserve"> d. sudarė </w:t>
      </w:r>
      <w:r w:rsidR="004A22DE">
        <w:t>1471,72</w:t>
      </w:r>
      <w:r>
        <w:t xml:space="preserve"> € (maisto produktai sandėlyje</w:t>
      </w:r>
      <w:r w:rsidR="004A22DE">
        <w:t>- 1271,82 € ir inventorius – 199,90 €</w:t>
      </w:r>
      <w:r>
        <w:t>).</w:t>
      </w:r>
    </w:p>
    <w:p w14:paraId="37446187" w14:textId="77777777" w:rsidR="00985BBF" w:rsidRDefault="00985BBF">
      <w:pPr>
        <w:jc w:val="both"/>
        <w:rPr>
          <w:b/>
        </w:rPr>
      </w:pPr>
    </w:p>
    <w:p w14:paraId="37446188" w14:textId="77777777" w:rsidR="00985BBF" w:rsidRDefault="00785499">
      <w:pPr>
        <w:ind w:left="1416"/>
        <w:jc w:val="both"/>
        <w:rPr>
          <w:b/>
        </w:rPr>
      </w:pPr>
      <w:r>
        <w:rPr>
          <w:b/>
        </w:rPr>
        <w:t>P09  Išankstiniai apmokėjimai ( 6 VSAFAS; 6 pr.) ;</w:t>
      </w:r>
    </w:p>
    <w:p w14:paraId="37446189" w14:textId="77777777" w:rsidR="00985BBF" w:rsidRDefault="00985BBF">
      <w:pPr>
        <w:ind w:left="1416"/>
        <w:jc w:val="both"/>
        <w:rPr>
          <w:b/>
        </w:rPr>
      </w:pPr>
    </w:p>
    <w:p w14:paraId="3744618A" w14:textId="7147F99E" w:rsidR="00985BBF" w:rsidRDefault="00785499">
      <w:pPr>
        <w:jc w:val="both"/>
      </w:pPr>
      <w:r>
        <w:t xml:space="preserve">        2022 metų </w:t>
      </w:r>
      <w:r w:rsidR="005D5687">
        <w:t>birželio</w:t>
      </w:r>
      <w:r>
        <w:t xml:space="preserve"> 3</w:t>
      </w:r>
      <w:r w:rsidR="005D5687">
        <w:t>0</w:t>
      </w:r>
      <w:r>
        <w:t xml:space="preserve"> d.  išankstiniai apmokėjimai sudarė </w:t>
      </w:r>
      <w:r w:rsidR="00845043">
        <w:t>160,0</w:t>
      </w:r>
      <w:r>
        <w:t xml:space="preserve"> €. Tame skaičiuje</w:t>
      </w:r>
    </w:p>
    <w:p w14:paraId="3744618C" w14:textId="77777777" w:rsidR="00985BBF" w:rsidRDefault="00785499">
      <w:pPr>
        <w:jc w:val="both"/>
      </w:pPr>
      <w:r>
        <w:t xml:space="preserve">    - 65,53 €- vaikiškų žurnalų prenumerata 2022 metams (savivaldybės lėšos); </w:t>
      </w:r>
    </w:p>
    <w:p w14:paraId="3744618D" w14:textId="063EB83A" w:rsidR="00985BBF" w:rsidRDefault="00785499">
      <w:pPr>
        <w:jc w:val="both"/>
      </w:pPr>
      <w:r>
        <w:lastRenderedPageBreak/>
        <w:t xml:space="preserve">    - vaikų draudimas nuo nelaimingų atsitikimų </w:t>
      </w:r>
      <w:r w:rsidR="00845043">
        <w:t>nuo</w:t>
      </w:r>
      <w:r>
        <w:t xml:space="preserve"> 2022 m. gegužės mėn. – </w:t>
      </w:r>
      <w:r w:rsidR="00845043">
        <w:t>94,47</w:t>
      </w:r>
      <w:r>
        <w:t xml:space="preserve"> € (įstaigos pajamų lėšos) .</w:t>
      </w:r>
    </w:p>
    <w:p w14:paraId="3744618E" w14:textId="77777777" w:rsidR="00985BBF" w:rsidRDefault="00785499">
      <w:pPr>
        <w:jc w:val="both"/>
        <w:rPr>
          <w:b/>
        </w:rPr>
      </w:pPr>
      <w:r>
        <w:t xml:space="preserve">     </w:t>
      </w:r>
    </w:p>
    <w:p w14:paraId="3744618F" w14:textId="77777777" w:rsidR="00985BBF" w:rsidRDefault="00785499">
      <w:pPr>
        <w:ind w:firstLine="1296"/>
        <w:jc w:val="both"/>
        <w:rPr>
          <w:b/>
        </w:rPr>
      </w:pPr>
      <w:r>
        <w:rPr>
          <w:b/>
        </w:rPr>
        <w:t>P10 Gautinos sumos ( 17 VSAFAS ) ;</w:t>
      </w:r>
    </w:p>
    <w:p w14:paraId="37446190" w14:textId="77777777" w:rsidR="00985BBF" w:rsidRDefault="00985BBF">
      <w:pPr>
        <w:ind w:firstLine="1296"/>
        <w:jc w:val="both"/>
        <w:rPr>
          <w:b/>
        </w:rPr>
      </w:pPr>
    </w:p>
    <w:p w14:paraId="37446191" w14:textId="0E05DC64" w:rsidR="00985BBF" w:rsidRDefault="00785499">
      <w:pPr>
        <w:ind w:firstLine="709"/>
        <w:jc w:val="both"/>
      </w:pPr>
      <w:r>
        <w:t xml:space="preserve">   2022 m </w:t>
      </w:r>
      <w:r w:rsidR="00591394">
        <w:t xml:space="preserve">birželio </w:t>
      </w:r>
      <w:r>
        <w:t>3</w:t>
      </w:r>
      <w:r w:rsidR="00591394">
        <w:t>0</w:t>
      </w:r>
      <w:r>
        <w:t xml:space="preserve"> d. per vienus metus gautinos sumos sudaro </w:t>
      </w:r>
      <w:r w:rsidR="003F4E9D">
        <w:t>88264,45</w:t>
      </w:r>
      <w:r>
        <w:t xml:space="preserve"> €. Ši suma susideda iš:</w:t>
      </w:r>
    </w:p>
    <w:p w14:paraId="37446192" w14:textId="122B9EEA" w:rsidR="00985BBF" w:rsidRDefault="00785499">
      <w:pPr>
        <w:ind w:firstLine="709"/>
        <w:jc w:val="both"/>
      </w:pPr>
      <w:r>
        <w:t xml:space="preserve">- gautinų sumų už turto panaudojimą, parduotas prekes, turtą, paslaugas. Tai gautina tėvų nedamoka už vaikų ugdymą </w:t>
      </w:r>
      <w:r w:rsidR="00591394">
        <w:t>50,30 €  ir skola už patalpų nuomą – 34,09 €.Viso 84,39 €.</w:t>
      </w:r>
    </w:p>
    <w:p w14:paraId="37446193" w14:textId="4BF5DAC9" w:rsidR="00985BBF" w:rsidRDefault="00785499">
      <w:pPr>
        <w:numPr>
          <w:ilvl w:val="0"/>
          <w:numId w:val="4"/>
        </w:numPr>
        <w:tabs>
          <w:tab w:val="left" w:pos="990"/>
          <w:tab w:val="left" w:pos="1170"/>
          <w:tab w:val="left" w:pos="1260"/>
          <w:tab w:val="left" w:pos="1620"/>
        </w:tabs>
        <w:ind w:left="0" w:firstLine="709"/>
        <w:jc w:val="both"/>
      </w:pPr>
      <w:r>
        <w:t xml:space="preserve">sukauptų gautinų sumų – </w:t>
      </w:r>
      <w:r w:rsidR="003F4E9D">
        <w:t>88180,06</w:t>
      </w:r>
      <w:r>
        <w:t xml:space="preserve"> € (sukauptos gautinos sumos iš biudžeto – </w:t>
      </w:r>
      <w:r w:rsidR="00903DBA">
        <w:t>82206,18</w:t>
      </w:r>
      <w:r>
        <w:t xml:space="preserve"> € ir savivaldybei pervestas bet negrąžintas įstaigos pajamų likutis 202</w:t>
      </w:r>
      <w:r w:rsidR="00591394">
        <w:t>2</w:t>
      </w:r>
      <w:r>
        <w:t xml:space="preserve"> m. </w:t>
      </w:r>
      <w:r w:rsidR="00DD1B4F">
        <w:t>birželio</w:t>
      </w:r>
      <w:r>
        <w:t xml:space="preserve"> 3</w:t>
      </w:r>
      <w:r w:rsidR="00DD1B4F">
        <w:t>0</w:t>
      </w:r>
      <w:r>
        <w:t xml:space="preserve"> d. – </w:t>
      </w:r>
      <w:r w:rsidR="00DD1B4F">
        <w:t>4615,41</w:t>
      </w:r>
      <w:r>
        <w:t xml:space="preserve"> €</w:t>
      </w:r>
      <w:r w:rsidR="00903DBA">
        <w:t>, pagal laikinųjų darbų sutartį dirbančių darbuotojų atlyginimai už 2022-06 mėn.- 1029,98 €</w:t>
      </w:r>
      <w:r>
        <w:t xml:space="preserve"> ir </w:t>
      </w:r>
      <w:r w:rsidR="00AF7394">
        <w:t>328,49</w:t>
      </w:r>
      <w:r>
        <w:t xml:space="preserve"> € - tai programa“Vaisių ir daržovių bei pieno ir pieno produktų vartojimo skatinimas vaikų ugdymo įstaigose“</w:t>
      </w:r>
      <w:r w:rsidR="00DD1B4F">
        <w:t xml:space="preserve"> (</w:t>
      </w:r>
      <w:r w:rsidR="00AF7394">
        <w:t xml:space="preserve"> </w:t>
      </w:r>
      <w:r w:rsidR="00DD1B4F">
        <w:t>negautas finansavimas);</w:t>
      </w:r>
    </w:p>
    <w:p w14:paraId="37446195" w14:textId="648E3CDD" w:rsidR="00985BBF" w:rsidRDefault="00785499" w:rsidP="00DD1B4F">
      <w:pPr>
        <w:jc w:val="both"/>
      </w:pPr>
      <w:r>
        <w:t xml:space="preserve">                   Sukauptą gautiną sumą iš biudžeto  </w:t>
      </w:r>
      <w:r w:rsidR="00903DBA">
        <w:t>82206,18</w:t>
      </w:r>
      <w:r w:rsidR="00EA64AB">
        <w:t xml:space="preserve"> </w:t>
      </w:r>
      <w:r>
        <w:t>€</w:t>
      </w:r>
      <w:r w:rsidR="00EA64AB">
        <w:t xml:space="preserve"> </w:t>
      </w:r>
      <w:r>
        <w:t xml:space="preserve"> sudaro: </w:t>
      </w:r>
    </w:p>
    <w:p w14:paraId="37446196" w14:textId="02FC524C" w:rsidR="00985BBF" w:rsidRDefault="00785499">
      <w:pPr>
        <w:numPr>
          <w:ilvl w:val="0"/>
          <w:numId w:val="6"/>
        </w:numPr>
        <w:tabs>
          <w:tab w:val="left" w:pos="1080"/>
          <w:tab w:val="left" w:pos="1170"/>
        </w:tabs>
        <w:ind w:left="0" w:firstLine="720"/>
        <w:jc w:val="both"/>
      </w:pPr>
      <w:r>
        <w:t xml:space="preserve">savivaldybės lėšos – </w:t>
      </w:r>
      <w:r w:rsidR="00903DBA">
        <w:t>41557,54</w:t>
      </w:r>
      <w:r w:rsidR="00EA64AB">
        <w:t xml:space="preserve"> </w:t>
      </w:r>
      <w:r>
        <w:t xml:space="preserve">€ (darbuotojų atlyginimai su sodra už </w:t>
      </w:r>
      <w:r w:rsidR="00903DBA">
        <w:t>birželio</w:t>
      </w:r>
      <w:r>
        <w:t xml:space="preserve"> mėn. </w:t>
      </w:r>
      <w:r w:rsidR="00EA64AB">
        <w:t xml:space="preserve">20445,61 </w:t>
      </w:r>
      <w:r>
        <w:t xml:space="preserve">€, sukaupti darbuotojų atostoginiai su sodra – 19237,92 €, tiekėjams  skola – </w:t>
      </w:r>
      <w:r w:rsidR="00EA64AB">
        <w:t>1874,01</w:t>
      </w:r>
      <w:r>
        <w:t xml:space="preserve"> €</w:t>
      </w:r>
      <w:r w:rsidR="00EA64AB">
        <w:t xml:space="preserve"> </w:t>
      </w:r>
    </w:p>
    <w:p w14:paraId="37446197" w14:textId="1E731E9F" w:rsidR="00985BBF" w:rsidRDefault="00785499">
      <w:pPr>
        <w:numPr>
          <w:ilvl w:val="0"/>
          <w:numId w:val="6"/>
        </w:numPr>
        <w:tabs>
          <w:tab w:val="left" w:pos="1080"/>
          <w:tab w:val="left" w:pos="1170"/>
        </w:tabs>
        <w:ind w:left="0" w:firstLine="720"/>
        <w:jc w:val="both"/>
      </w:pPr>
      <w:r>
        <w:t xml:space="preserve">mokinio krepšelio lėšos – </w:t>
      </w:r>
      <w:r w:rsidR="00A70405">
        <w:t>40083,52</w:t>
      </w:r>
      <w:r>
        <w:t xml:space="preserve"> € (tai darbuotojų atlyginimai su sodra už </w:t>
      </w:r>
      <w:r w:rsidR="00EA64AB">
        <w:t>birželio</w:t>
      </w:r>
      <w:r>
        <w:t xml:space="preserve"> mėn.- </w:t>
      </w:r>
      <w:r w:rsidR="00BA4E48">
        <w:t>16434,71</w:t>
      </w:r>
      <w:r>
        <w:t xml:space="preserve"> €, sukaupti darbuotojų atostoginiai  su sodra – 23648,81 € </w:t>
      </w:r>
    </w:p>
    <w:p w14:paraId="37446198" w14:textId="0FDCA0CF" w:rsidR="00985BBF" w:rsidRDefault="00785499">
      <w:pPr>
        <w:numPr>
          <w:ilvl w:val="0"/>
          <w:numId w:val="6"/>
        </w:numPr>
        <w:tabs>
          <w:tab w:val="left" w:pos="1080"/>
        </w:tabs>
        <w:ind w:left="0" w:firstLine="720"/>
        <w:jc w:val="both"/>
      </w:pPr>
      <w:r>
        <w:t xml:space="preserve">lėšos, skirtos padagoginių darbuotojų atlyginimų padidinimui – </w:t>
      </w:r>
      <w:r w:rsidR="001B50F8">
        <w:t>88,61</w:t>
      </w:r>
      <w:r>
        <w:t xml:space="preserve"> € (darbuotojų atlyginimas su sodra už </w:t>
      </w:r>
      <w:r w:rsidR="00903DBA">
        <w:t>birželio</w:t>
      </w:r>
      <w:r>
        <w:t xml:space="preserve"> mėn.)</w:t>
      </w:r>
    </w:p>
    <w:p w14:paraId="4723413B" w14:textId="6D352DBB" w:rsidR="001B50F8" w:rsidRDefault="001B50F8">
      <w:pPr>
        <w:numPr>
          <w:ilvl w:val="0"/>
          <w:numId w:val="6"/>
        </w:numPr>
        <w:tabs>
          <w:tab w:val="left" w:pos="1080"/>
        </w:tabs>
        <w:ind w:left="0" w:firstLine="720"/>
        <w:jc w:val="both"/>
      </w:pPr>
      <w:r>
        <w:t>lėšos ,skirtos pedagogų atlyginimams už ekraniečių vaikų ugdymą – 476,51 €.</w:t>
      </w:r>
    </w:p>
    <w:p w14:paraId="3744619B" w14:textId="77777777" w:rsidR="00985BBF" w:rsidRDefault="00985BBF">
      <w:pPr>
        <w:ind w:left="1429"/>
        <w:jc w:val="both"/>
      </w:pPr>
    </w:p>
    <w:p w14:paraId="3744619C" w14:textId="77777777" w:rsidR="00985BBF" w:rsidRDefault="00785499">
      <w:pPr>
        <w:ind w:firstLine="1296"/>
        <w:jc w:val="both"/>
        <w:rPr>
          <w:b/>
        </w:rPr>
      </w:pPr>
      <w:r>
        <w:rPr>
          <w:b/>
        </w:rPr>
        <w:t>P11  Pinigai ir pinigų ekvivalentai  ( 17 VSAFAS ; 8 per.) ;</w:t>
      </w:r>
    </w:p>
    <w:p w14:paraId="3744619D" w14:textId="77777777" w:rsidR="00985BBF" w:rsidRDefault="00985BBF">
      <w:pPr>
        <w:ind w:firstLine="1296"/>
        <w:jc w:val="both"/>
      </w:pPr>
    </w:p>
    <w:p w14:paraId="3744619E" w14:textId="5F675DB0" w:rsidR="00985BBF" w:rsidRDefault="00785499">
      <w:pPr>
        <w:ind w:firstLine="708"/>
        <w:jc w:val="both"/>
        <w:rPr>
          <w:lang w:val="en-US"/>
        </w:rPr>
      </w:pPr>
      <w:r>
        <w:t xml:space="preserve">Likutis pajamų sąskaitoje – </w:t>
      </w:r>
      <w:r w:rsidR="00731D5E">
        <w:t>35,19</w:t>
      </w:r>
      <w:r>
        <w:t xml:space="preserve"> €; nemokamo maitinimo sąskaitoje  - </w:t>
      </w:r>
      <w:r w:rsidR="00731D5E">
        <w:t>843,36</w:t>
      </w:r>
      <w:r>
        <w:t xml:space="preserve"> €</w:t>
      </w:r>
      <w:r>
        <w:rPr>
          <w:lang w:val="pt-BR"/>
        </w:rPr>
        <w:t xml:space="preserve">; pagrindinėjė banko sąskaitoje -  0,0 €;  2 </w:t>
      </w:r>
      <w:r>
        <w:rPr>
          <w:lang w:val="en-US"/>
        </w:rPr>
        <w:t xml:space="preserve">% </w:t>
      </w:r>
      <w:proofErr w:type="spellStart"/>
      <w:r>
        <w:rPr>
          <w:lang w:val="en-US"/>
        </w:rPr>
        <w:t>paramos</w:t>
      </w:r>
      <w:proofErr w:type="spellEnd"/>
      <w:r>
        <w:rPr>
          <w:lang w:val="en-US"/>
        </w:rPr>
        <w:t xml:space="preserve"> </w:t>
      </w:r>
      <w:r>
        <w:t xml:space="preserve">sąskaitoje </w:t>
      </w:r>
      <w:r w:rsidR="00731D5E">
        <w:rPr>
          <w:lang w:val="en-US"/>
        </w:rPr>
        <w:t>4825,74</w:t>
      </w:r>
      <w:r>
        <w:rPr>
          <w:lang w:val="en-US"/>
        </w:rPr>
        <w:t xml:space="preserve"> € </w:t>
      </w:r>
      <w:proofErr w:type="spellStart"/>
      <w:r>
        <w:rPr>
          <w:lang w:val="en-US"/>
        </w:rPr>
        <w:t>ir</w:t>
      </w:r>
      <w:proofErr w:type="spellEnd"/>
      <w:r>
        <w:rPr>
          <w:lang w:val="en-US"/>
        </w:rPr>
        <w:t xml:space="preserve"> </w:t>
      </w:r>
      <w:proofErr w:type="spellStart"/>
      <w:r>
        <w:rPr>
          <w:lang w:val="en-US"/>
        </w:rPr>
        <w:t>projektų</w:t>
      </w:r>
      <w:proofErr w:type="spellEnd"/>
      <w:r>
        <w:rPr>
          <w:lang w:val="en-US"/>
        </w:rPr>
        <w:t xml:space="preserve"> </w:t>
      </w:r>
      <w:proofErr w:type="spellStart"/>
      <w:r>
        <w:rPr>
          <w:lang w:val="en-US"/>
        </w:rPr>
        <w:t>sąskaitoje</w:t>
      </w:r>
      <w:proofErr w:type="spellEnd"/>
      <w:r>
        <w:rPr>
          <w:lang w:val="en-US"/>
        </w:rPr>
        <w:t xml:space="preserve"> – </w:t>
      </w:r>
      <w:r w:rsidR="00731D5E">
        <w:rPr>
          <w:lang w:val="en-US"/>
        </w:rPr>
        <w:t>181,14</w:t>
      </w:r>
      <w:r>
        <w:rPr>
          <w:lang w:val="en-US"/>
        </w:rPr>
        <w:t xml:space="preserve"> €.</w:t>
      </w:r>
      <w:r>
        <w:rPr>
          <w:lang w:val="pt-BR"/>
        </w:rPr>
        <w:t xml:space="preserve">Iš viso banko sąskaitose – </w:t>
      </w:r>
      <w:r w:rsidR="00731D5E">
        <w:rPr>
          <w:lang w:val="pt-BR"/>
        </w:rPr>
        <w:t>5885,43</w:t>
      </w:r>
      <w:r>
        <w:rPr>
          <w:lang w:val="pt-BR"/>
        </w:rPr>
        <w:t xml:space="preserve"> €.</w:t>
      </w:r>
    </w:p>
    <w:p w14:paraId="3744619F" w14:textId="77777777" w:rsidR="00985BBF" w:rsidRDefault="00985BBF">
      <w:pPr>
        <w:jc w:val="both"/>
        <w:rPr>
          <w:lang w:val="en-US"/>
        </w:rPr>
      </w:pPr>
    </w:p>
    <w:p w14:paraId="374461A0" w14:textId="77777777" w:rsidR="00985BBF" w:rsidRDefault="00785499">
      <w:pPr>
        <w:jc w:val="center"/>
        <w:rPr>
          <w:b/>
        </w:rPr>
      </w:pPr>
      <w:r>
        <w:rPr>
          <w:b/>
        </w:rPr>
        <w:t>P12 Finansavimo sumos ( 20 VSAFAS ) ;</w:t>
      </w:r>
    </w:p>
    <w:p w14:paraId="374461A1" w14:textId="77777777" w:rsidR="00985BBF" w:rsidRDefault="00985BBF">
      <w:pPr>
        <w:jc w:val="both"/>
        <w:rPr>
          <w:b/>
        </w:rPr>
      </w:pPr>
    </w:p>
    <w:p w14:paraId="374461A2" w14:textId="2C719D60" w:rsidR="00985BBF" w:rsidRDefault="00785499">
      <w:pPr>
        <w:jc w:val="both"/>
        <w:rPr>
          <w:b/>
        </w:rPr>
      </w:pPr>
      <w:r>
        <w:rPr>
          <w:b/>
        </w:rPr>
        <w:tab/>
        <w:t xml:space="preserve">Per ataskaitinį laikotarpį  finansavimo sumos (gautos), išskyrus neatlygintinai gautą turtą – </w:t>
      </w:r>
      <w:r w:rsidR="00BA4E48">
        <w:rPr>
          <w:b/>
        </w:rPr>
        <w:t>322587,92</w:t>
      </w:r>
      <w:r>
        <w:rPr>
          <w:b/>
        </w:rPr>
        <w:t xml:space="preserve"> €.</w:t>
      </w:r>
    </w:p>
    <w:p w14:paraId="07B2F6B3" w14:textId="661028B0" w:rsidR="0070104B" w:rsidRDefault="00785499">
      <w:pPr>
        <w:jc w:val="both"/>
      </w:pPr>
      <w:r>
        <w:tab/>
        <w:t xml:space="preserve"> Iš valstybės biudžeto – </w:t>
      </w:r>
      <w:r w:rsidR="00BA4E48">
        <w:t>138319,15</w:t>
      </w:r>
      <w:r>
        <w:t xml:space="preserve"> € (nemokamas maitinimas – </w:t>
      </w:r>
      <w:r w:rsidR="00BA4E48">
        <w:t>4620,</w:t>
      </w:r>
      <w:r>
        <w:t xml:space="preserve">0 €, mokinio krepšelio – </w:t>
      </w:r>
      <w:r w:rsidR="0070104B">
        <w:t>126053,06</w:t>
      </w:r>
      <w:r>
        <w:t xml:space="preserve"> € kitoms išlaidoms kompensuoti ir nepiniginiam turtui įsigyti, lėšos 1456 ( skirtos pedagogų DU padidinimui)-</w:t>
      </w:r>
      <w:r w:rsidR="0070104B">
        <w:t xml:space="preserve"> 6423,57 €, mokytojų atlyginimams už ukrainiečių vaikų ugdymą – 692,17 € ir vaisių pieno paramos gautas finansavimas – 530,35 €.</w:t>
      </w:r>
      <w:r>
        <w:t xml:space="preserve"> Pergrupavimo suma yra </w:t>
      </w:r>
      <w:r w:rsidR="00BA4E48">
        <w:t>1109,41</w:t>
      </w:r>
      <w:r>
        <w:t xml:space="preserve"> € lėšos nepiniginiam turtui įsigyti</w:t>
      </w:r>
      <w:r w:rsidR="00125DA4">
        <w:t xml:space="preserve"> (pirktos prekės- 579,06 € ir vaisių pieno parama – 530,35 €).</w:t>
      </w:r>
    </w:p>
    <w:p w14:paraId="374461A3" w14:textId="626844F0" w:rsidR="00985BBF" w:rsidRDefault="00785499">
      <w:pPr>
        <w:jc w:val="both"/>
      </w:pPr>
      <w:r>
        <w:tab/>
        <w:t xml:space="preserve">Iš savivaldybės biudžeto gauta </w:t>
      </w:r>
      <w:r w:rsidR="0070104B">
        <w:t>183702,98</w:t>
      </w:r>
      <w:r>
        <w:t xml:space="preserve"> € , iš jų 1537,37 €  2021 metų skolų likučiui padengti (lėšos 1508), </w:t>
      </w:r>
      <w:r w:rsidR="000171F9">
        <w:t>savivaldybės administracijos finansuojamas meno projektas sumoje 300,0</w:t>
      </w:r>
      <w:r w:rsidR="00F44FE6">
        <w:t xml:space="preserve"> </w:t>
      </w:r>
      <w:r w:rsidR="000171F9">
        <w:t>€ ,</w:t>
      </w:r>
      <w:r>
        <w:t xml:space="preserve">savivaldybės lėšos – </w:t>
      </w:r>
      <w:r w:rsidR="000171F9">
        <w:t>181865,61</w:t>
      </w:r>
      <w:r>
        <w:t xml:space="preserve"> €.  Nepiniginiam turtui gauta </w:t>
      </w:r>
      <w:r w:rsidR="00125DA4">
        <w:t>881,05</w:t>
      </w:r>
      <w:r w:rsidR="00F44FE6">
        <w:t xml:space="preserve"> </w:t>
      </w:r>
      <w:r>
        <w:t>€ (</w:t>
      </w:r>
      <w:r w:rsidR="00125DA4">
        <w:t xml:space="preserve"> patalynės, aprangos skalbimas) </w:t>
      </w:r>
      <w:r w:rsidR="00F44FE6">
        <w:t xml:space="preserve">, </w:t>
      </w:r>
      <w:r w:rsidR="00125DA4">
        <w:t>meno projekto „ Vakystės paletė-7“ 300,0 €</w:t>
      </w:r>
      <w:r>
        <w:t xml:space="preserve"> </w:t>
      </w:r>
      <w:r w:rsidR="00125DA4">
        <w:t>suma ir</w:t>
      </w:r>
      <w:r>
        <w:t xml:space="preserve"> </w:t>
      </w:r>
      <w:r w:rsidR="000171F9">
        <w:t>kitoms išlaidoms kompensuoti – 180</w:t>
      </w:r>
      <w:r w:rsidR="00712BDD">
        <w:t>9</w:t>
      </w:r>
      <w:r w:rsidR="000171F9">
        <w:t xml:space="preserve">84,56 </w:t>
      </w:r>
      <w:r>
        <w:t xml:space="preserve">€. Finansavimo sumų pergrupavimas sumoje </w:t>
      </w:r>
      <w:r w:rsidR="00125DA4">
        <w:t>1037,29</w:t>
      </w:r>
      <w:r>
        <w:t xml:space="preserve"> € (mitybos suma </w:t>
      </w:r>
      <w:r w:rsidR="00125DA4">
        <w:t>1918,34</w:t>
      </w:r>
      <w:r>
        <w:t xml:space="preserve"> €  minus skalbimas </w:t>
      </w:r>
      <w:r w:rsidR="00125DA4">
        <w:t>881,05</w:t>
      </w:r>
      <w:r>
        <w:t xml:space="preserve"> €).</w:t>
      </w:r>
    </w:p>
    <w:p w14:paraId="374461A4" w14:textId="6AF36CCE" w:rsidR="00985BBF" w:rsidRDefault="00785499">
      <w:pPr>
        <w:jc w:val="both"/>
      </w:pPr>
      <w:r>
        <w:tab/>
        <w:t xml:space="preserve"> Iš ES, užsienio valst.ir tarptautinių organizacijų  gauta </w:t>
      </w:r>
      <w:r w:rsidR="000171F9">
        <w:t xml:space="preserve">vaisių pieno paramos </w:t>
      </w:r>
      <w:r>
        <w:t xml:space="preserve">finansavimo sumų </w:t>
      </w:r>
    </w:p>
    <w:p w14:paraId="78853C84" w14:textId="516DBA73" w:rsidR="004A26F3" w:rsidRDefault="00712BDD">
      <w:pPr>
        <w:jc w:val="both"/>
      </w:pPr>
      <w:r>
        <w:t>už 406,71 €.</w:t>
      </w:r>
    </w:p>
    <w:p w14:paraId="374461A5" w14:textId="4C031671" w:rsidR="00985BBF" w:rsidRDefault="00785499">
      <w:pPr>
        <w:jc w:val="both"/>
      </w:pPr>
      <w:r>
        <w:tab/>
        <w:t xml:space="preserve"> Iš kitų šaltinių gautos finansavimo sumos – </w:t>
      </w:r>
      <w:r w:rsidR="00712BDD">
        <w:t xml:space="preserve">159,08 </w:t>
      </w:r>
      <w:r>
        <w:t xml:space="preserve">€. Tai pagal tiekimo sutartį ŽŪB „Delikatesas“  įstaigai suteikta parama  . </w:t>
      </w:r>
    </w:p>
    <w:p w14:paraId="374461A6" w14:textId="7CC9EDF3" w:rsidR="00985BBF" w:rsidRDefault="00785499">
      <w:pPr>
        <w:jc w:val="both"/>
      </w:pPr>
      <w:r>
        <w:rPr>
          <w:b/>
        </w:rPr>
        <w:t xml:space="preserve">          Neatlygintinai gautas turtas – </w:t>
      </w:r>
      <w:r w:rsidR="00712BDD">
        <w:rPr>
          <w:b/>
        </w:rPr>
        <w:t>1545,58</w:t>
      </w:r>
      <w:r>
        <w:rPr>
          <w:b/>
        </w:rPr>
        <w:t xml:space="preserve"> €:</w:t>
      </w:r>
    </w:p>
    <w:p w14:paraId="374461A7" w14:textId="125EBA13" w:rsidR="00985BBF" w:rsidRDefault="00785499">
      <w:pPr>
        <w:jc w:val="both"/>
      </w:pPr>
      <w:r>
        <w:t xml:space="preserve">              - valstybės lėšos – </w:t>
      </w:r>
      <w:r w:rsidR="00712BDD">
        <w:t>1035,06</w:t>
      </w:r>
      <w:r>
        <w:t xml:space="preserve"> €  (medikamentai </w:t>
      </w:r>
      <w:r w:rsidR="00712BDD">
        <w:t>1034,56</w:t>
      </w:r>
      <w:r>
        <w:t xml:space="preserve"> € ir metodinė medžiaga 0,50 € ).</w:t>
      </w:r>
    </w:p>
    <w:p w14:paraId="374461A8" w14:textId="77777777" w:rsidR="00985BBF" w:rsidRDefault="00785499">
      <w:pPr>
        <w:jc w:val="both"/>
      </w:pPr>
      <w:r>
        <w:t xml:space="preserve">              -  Europos Sąjungos lėšos – 319,54 € (metodinės medžiagos priemonių rinkinys).</w:t>
      </w:r>
    </w:p>
    <w:p w14:paraId="57152B57" w14:textId="4814E327" w:rsidR="00712BDD" w:rsidRDefault="00712BDD">
      <w:pPr>
        <w:jc w:val="both"/>
      </w:pPr>
      <w:r>
        <w:t xml:space="preserve">              -  iš kitų šsltinių gautos lėšos – 190,98 € (</w:t>
      </w:r>
      <w:r w:rsidR="00E1772F">
        <w:t>Lietuvos teniso sąjunga – 176 € ir paramos fondas „Švieskime vaikus“ – 14,98 €.</w:t>
      </w:r>
    </w:p>
    <w:p w14:paraId="374461A9" w14:textId="77777777" w:rsidR="00985BBF" w:rsidRDefault="00785499">
      <w:pPr>
        <w:jc w:val="both"/>
      </w:pPr>
      <w:r>
        <w:lastRenderedPageBreak/>
        <w:t xml:space="preserve">             </w:t>
      </w:r>
    </w:p>
    <w:p w14:paraId="374461AA" w14:textId="3DC48601" w:rsidR="00985BBF" w:rsidRDefault="00785499">
      <w:pPr>
        <w:jc w:val="both"/>
      </w:pPr>
      <w:r>
        <w:tab/>
      </w:r>
      <w:r>
        <w:rPr>
          <w:b/>
        </w:rPr>
        <w:t xml:space="preserve">Finansavimo sumų likutis ataskaitinio laikotarpio pabaigoje sudaro </w:t>
      </w:r>
      <w:r w:rsidR="00E1772F">
        <w:rPr>
          <w:b/>
        </w:rPr>
        <w:t>290763,72</w:t>
      </w:r>
      <w:r>
        <w:rPr>
          <w:b/>
        </w:rPr>
        <w:t xml:space="preserve"> €. </w:t>
      </w:r>
      <w:r>
        <w:t>Tame skaičiuje:</w:t>
      </w:r>
    </w:p>
    <w:p w14:paraId="374461AB" w14:textId="3D92B0D9" w:rsidR="00985BBF" w:rsidRDefault="00785499">
      <w:pPr>
        <w:numPr>
          <w:ilvl w:val="0"/>
          <w:numId w:val="3"/>
        </w:numPr>
        <w:jc w:val="both"/>
      </w:pPr>
      <w:r>
        <w:t xml:space="preserve">iš valstybės biudžeto – </w:t>
      </w:r>
      <w:r w:rsidR="00E1772F">
        <w:t>27025,93</w:t>
      </w:r>
      <w:r>
        <w:t xml:space="preserve"> €, </w:t>
      </w:r>
    </w:p>
    <w:p w14:paraId="374461AC" w14:textId="2A13D545" w:rsidR="00985BBF" w:rsidRDefault="00785499">
      <w:pPr>
        <w:numPr>
          <w:ilvl w:val="0"/>
          <w:numId w:val="3"/>
        </w:numPr>
        <w:jc w:val="both"/>
      </w:pPr>
      <w:r>
        <w:t xml:space="preserve">iš savivaldybės biudžeto – </w:t>
      </w:r>
      <w:r w:rsidR="00E1772F">
        <w:t>124152,63</w:t>
      </w:r>
      <w:r>
        <w:t xml:space="preserve"> €, </w:t>
      </w:r>
    </w:p>
    <w:p w14:paraId="374461AD" w14:textId="7125BA62" w:rsidR="00985BBF" w:rsidRDefault="00785499">
      <w:pPr>
        <w:numPr>
          <w:ilvl w:val="0"/>
          <w:numId w:val="3"/>
        </w:numPr>
        <w:jc w:val="both"/>
      </w:pPr>
      <w:r>
        <w:t xml:space="preserve">iš Europos sąjungos – </w:t>
      </w:r>
      <w:r w:rsidR="00E1772F">
        <w:t>134587,90</w:t>
      </w:r>
      <w:r>
        <w:t xml:space="preserve"> €,</w:t>
      </w:r>
    </w:p>
    <w:p w14:paraId="374461AE" w14:textId="04428EE6" w:rsidR="00985BBF" w:rsidRDefault="00785499">
      <w:pPr>
        <w:numPr>
          <w:ilvl w:val="0"/>
          <w:numId w:val="3"/>
        </w:numPr>
        <w:jc w:val="both"/>
      </w:pPr>
      <w:r>
        <w:t xml:space="preserve"> iš kitų šaltinių – </w:t>
      </w:r>
      <w:r w:rsidR="00E1772F">
        <w:t>4997,26</w:t>
      </w:r>
      <w:r>
        <w:t xml:space="preserve"> €.</w:t>
      </w:r>
    </w:p>
    <w:p w14:paraId="374461AF" w14:textId="468D0C60" w:rsidR="00985BBF" w:rsidRDefault="00785499">
      <w:pPr>
        <w:jc w:val="both"/>
      </w:pPr>
      <w:r>
        <w:tab/>
        <w:t xml:space="preserve"> Iš valstybės biudžeto finansavimo sumų likutį sudaro finansavimo sumos ilgalaikiam turtui </w:t>
      </w:r>
      <w:r w:rsidR="00E1772F">
        <w:t>26182,57</w:t>
      </w:r>
      <w:r>
        <w:t xml:space="preserve"> €</w:t>
      </w:r>
      <w:r w:rsidR="00E1772F">
        <w:t>.</w:t>
      </w:r>
      <w:r>
        <w:t xml:space="preserve"> Kitoms išlaidoms kompensuoti likutis – </w:t>
      </w:r>
      <w:r w:rsidR="00E1772F">
        <w:t>843,36</w:t>
      </w:r>
      <w:r>
        <w:t xml:space="preserve"> € (priešmokyklinukų nemokamam maitinimui skirtos lėšos banko sąskaitoje).</w:t>
      </w:r>
    </w:p>
    <w:p w14:paraId="374461B0" w14:textId="02C6A2E0" w:rsidR="00985BBF" w:rsidRDefault="00785499">
      <w:pPr>
        <w:ind w:firstLine="708"/>
        <w:jc w:val="both"/>
      </w:pPr>
      <w:r>
        <w:t xml:space="preserve">Iš kitų šaltinių finansavimo sumų likutis yra </w:t>
      </w:r>
      <w:r w:rsidR="00E1772F">
        <w:t>4997,26</w:t>
      </w:r>
      <w:r>
        <w:t xml:space="preserve"> € (nepiniginiam turtui įsigyti likutis yra </w:t>
      </w:r>
      <w:r w:rsidR="00E1772F">
        <w:t>4825,74</w:t>
      </w:r>
      <w:r>
        <w:t xml:space="preserve"> € paramos banko ats.sąskaitoje</w:t>
      </w:r>
      <w:r>
        <w:rPr>
          <w:lang w:val="en-US"/>
        </w:rPr>
        <w:t xml:space="preserve"> ir</w:t>
      </w:r>
      <w:r>
        <w:t xml:space="preserve"> finansavimo sumos ilgalaikiam turtui – </w:t>
      </w:r>
      <w:r w:rsidR="00E1772F">
        <w:t>171,52</w:t>
      </w:r>
      <w:r>
        <w:t xml:space="preserve"> €).</w:t>
      </w:r>
    </w:p>
    <w:p w14:paraId="374461B1" w14:textId="4ABD2F15" w:rsidR="00985BBF" w:rsidRDefault="00785499">
      <w:pPr>
        <w:jc w:val="both"/>
      </w:pPr>
      <w:r>
        <w:tab/>
        <w:t xml:space="preserve">Iš savivaldybės biudžeto finansavimo sumų likutį nepiniginiam turtui sudaro: ilgalaikis turtas </w:t>
      </w:r>
      <w:r w:rsidR="00E1772F">
        <w:t>123905,96 € ir meno projekto lėšų likutis banke 181,14 €.</w:t>
      </w:r>
      <w:r>
        <w:t xml:space="preserve"> </w:t>
      </w:r>
      <w:r w:rsidR="00E1772F">
        <w:t>F</w:t>
      </w:r>
      <w:r>
        <w:t xml:space="preserve">inansavimo sumos kitoms išlaidoms finansuoti - prenumeratai 65,53 € </w:t>
      </w:r>
      <w:r w:rsidR="00E1772F">
        <w:t>.</w:t>
      </w:r>
    </w:p>
    <w:p w14:paraId="374461B2" w14:textId="4F7531F2" w:rsidR="00985BBF" w:rsidRDefault="00785499">
      <w:pPr>
        <w:jc w:val="both"/>
      </w:pPr>
      <w:r>
        <w:tab/>
        <w:t xml:space="preserve"> Iš Europos sąjungos gauto finansavimo likutį sudaro finansavimo sumos ilgalaikiam turtui </w:t>
      </w:r>
      <w:r w:rsidR="00E1772F">
        <w:t>134587,90</w:t>
      </w:r>
      <w:r>
        <w:t xml:space="preserve"> €.</w:t>
      </w:r>
    </w:p>
    <w:p w14:paraId="374461B3" w14:textId="77777777" w:rsidR="00985BBF" w:rsidRDefault="00985BBF">
      <w:pPr>
        <w:jc w:val="both"/>
      </w:pPr>
    </w:p>
    <w:p w14:paraId="374461B4" w14:textId="77777777" w:rsidR="00985BBF" w:rsidRDefault="00785499">
      <w:pPr>
        <w:jc w:val="center"/>
        <w:rPr>
          <w:b/>
        </w:rPr>
      </w:pPr>
      <w:r>
        <w:rPr>
          <w:b/>
        </w:rPr>
        <w:t>P15 Atidėjiniai</w:t>
      </w:r>
    </w:p>
    <w:p w14:paraId="374461B5" w14:textId="77777777" w:rsidR="00985BBF" w:rsidRDefault="00985BBF">
      <w:pPr>
        <w:jc w:val="both"/>
        <w:rPr>
          <w:b/>
        </w:rPr>
      </w:pPr>
    </w:p>
    <w:p w14:paraId="374461B6" w14:textId="77777777" w:rsidR="00985BBF" w:rsidRDefault="00785499">
      <w:pPr>
        <w:ind w:firstLine="708"/>
        <w:jc w:val="both"/>
      </w:pPr>
      <w:r>
        <w:t xml:space="preserve">Įstaigoje dirba keturi pensinio amžiaus darbuotojai (virėjas, ūkvedys, direktoriaus pavaduotojas ugdymui, mokytojas ), dirbantys pagal neterminuotą darbo sutartį. </w:t>
      </w:r>
    </w:p>
    <w:p w14:paraId="374461B7" w14:textId="77777777" w:rsidR="00985BBF" w:rsidRDefault="00785499">
      <w:pPr>
        <w:ind w:firstLine="708"/>
        <w:jc w:val="both"/>
        <w:rPr>
          <w:b/>
        </w:rPr>
      </w:pPr>
      <w:r>
        <w:t>Ataskaitinio laikotarpio pabaigoje apskaitoje užregistruotas atidėjinys su sodra sumoje 12695,89 € ( iš savivaldybės biudžeto- 7698,73 € ir iš MK lėšų – 4997,16 €) Kadangi nėra žinoma , kiek pesijinio amžiaus sulaukusių darbuotojų ateinančiais metais pateiks prašymus išeiti iš darbo , apskaičiuota suma yra pripažinta ilgalaikiu atidėjiniu.</w:t>
      </w:r>
    </w:p>
    <w:p w14:paraId="374461B8" w14:textId="77777777" w:rsidR="00985BBF" w:rsidRDefault="00985BBF">
      <w:pPr>
        <w:jc w:val="both"/>
        <w:rPr>
          <w:b/>
        </w:rPr>
      </w:pPr>
    </w:p>
    <w:p w14:paraId="374461B9" w14:textId="77777777" w:rsidR="00985BBF" w:rsidRDefault="00785499">
      <w:pPr>
        <w:ind w:left="708"/>
        <w:jc w:val="both"/>
        <w:rPr>
          <w:b/>
        </w:rPr>
      </w:pPr>
      <w:r>
        <w:rPr>
          <w:b/>
        </w:rPr>
        <w:t>P17 Trumpalaikės mokėtinos sumos  (17 VSAFAS, 9 VSAFAS) ;</w:t>
      </w:r>
    </w:p>
    <w:p w14:paraId="374461BA" w14:textId="77777777" w:rsidR="00985BBF" w:rsidRDefault="00985BBF">
      <w:pPr>
        <w:ind w:left="708"/>
        <w:jc w:val="both"/>
        <w:rPr>
          <w:b/>
        </w:rPr>
      </w:pPr>
    </w:p>
    <w:p w14:paraId="374461BB" w14:textId="5C53E249" w:rsidR="00985BBF" w:rsidRDefault="00785499">
      <w:pPr>
        <w:ind w:firstLine="708"/>
        <w:jc w:val="both"/>
      </w:pPr>
      <w:r>
        <w:t>Informacija apie kai kurias trumpalaikes mokėtinas sumas. Įstaiga pateikia šias sumas: su darbo santykiais susiję įsipareigojimai už 2022 m.</w:t>
      </w:r>
      <w:r w:rsidR="00BF551F">
        <w:t>birželio</w:t>
      </w:r>
      <w:r>
        <w:t xml:space="preserve"> mėn. – </w:t>
      </w:r>
      <w:r w:rsidR="00BF551F">
        <w:t>38475,42</w:t>
      </w:r>
      <w:r>
        <w:t xml:space="preserve"> €, sukaupti darbuotojų atostoginiai su sodra – 423886,73 €, tiekėjams mokėtinos sumos – </w:t>
      </w:r>
      <w:r w:rsidR="00647CC2">
        <w:t xml:space="preserve">3934,43 </w:t>
      </w:r>
      <w:r>
        <w:t xml:space="preserve">€(  biudžeto lėšos </w:t>
      </w:r>
      <w:r w:rsidR="0022782B">
        <w:t xml:space="preserve">1874,01 </w:t>
      </w:r>
      <w:r>
        <w:t xml:space="preserve">€; spec.lėšos </w:t>
      </w:r>
      <w:r w:rsidR="0022782B">
        <w:t xml:space="preserve">2060,42 €) </w:t>
      </w:r>
      <w:r w:rsidR="00B618C1">
        <w:t>ir pieno vaisių paramos likutis 328,49 € - tai AB „Žemaitijos pienui“ tiekėjų skola už produktus ( valstybės lėšos – 57,01 € ir ES – 271,48 € ).</w:t>
      </w:r>
    </w:p>
    <w:p w14:paraId="374461BC" w14:textId="77777777" w:rsidR="00985BBF" w:rsidRDefault="00785499">
      <w:pPr>
        <w:jc w:val="both"/>
      </w:pPr>
      <w:r>
        <w:t xml:space="preserve">        Įstaigos  įsipareigojimai tiekėjams :</w:t>
      </w:r>
    </w:p>
    <w:p w14:paraId="374461BD" w14:textId="77777777" w:rsidR="00985BBF" w:rsidRDefault="00785499">
      <w:pPr>
        <w:jc w:val="both"/>
      </w:pPr>
      <w:r>
        <w:t xml:space="preserve">                                                                                                                      (Eur)</w:t>
      </w:r>
    </w:p>
    <w:tbl>
      <w:tblPr>
        <w:tblW w:w="6982" w:type="dxa"/>
        <w:tblInd w:w="733" w:type="dxa"/>
        <w:tblLook w:val="04A0" w:firstRow="1" w:lastRow="0" w:firstColumn="1" w:lastColumn="0" w:noHBand="0" w:noVBand="1"/>
      </w:tblPr>
      <w:tblGrid>
        <w:gridCol w:w="567"/>
        <w:gridCol w:w="4740"/>
        <w:gridCol w:w="1675"/>
      </w:tblGrid>
      <w:tr w:rsidR="00985BBF" w14:paraId="374461C1" w14:textId="77777777">
        <w:tc>
          <w:tcPr>
            <w:tcW w:w="567" w:type="dxa"/>
            <w:tcBorders>
              <w:top w:val="single" w:sz="4" w:space="0" w:color="000000"/>
              <w:left w:val="single" w:sz="4" w:space="0" w:color="000000"/>
              <w:bottom w:val="single" w:sz="4" w:space="0" w:color="000000"/>
            </w:tcBorders>
            <w:shd w:val="clear" w:color="auto" w:fill="auto"/>
          </w:tcPr>
          <w:p w14:paraId="374461B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BF" w14:textId="77777777" w:rsidR="00985BBF" w:rsidRDefault="00785499">
            <w:pPr>
              <w:jc w:val="both"/>
            </w:pPr>
            <w:r>
              <w:t>UAB „Panevėžio bičiulis“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C0" w14:textId="03A55848" w:rsidR="00985BBF" w:rsidRDefault="00B618C1">
            <w:pPr>
              <w:jc w:val="center"/>
            </w:pPr>
            <w:r>
              <w:t>626,10</w:t>
            </w:r>
          </w:p>
        </w:tc>
      </w:tr>
      <w:tr w:rsidR="00985BBF" w14:paraId="374461C5" w14:textId="77777777">
        <w:tc>
          <w:tcPr>
            <w:tcW w:w="567" w:type="dxa"/>
            <w:tcBorders>
              <w:top w:val="single" w:sz="4" w:space="0" w:color="000000"/>
              <w:left w:val="single" w:sz="4" w:space="0" w:color="000000"/>
              <w:bottom w:val="single" w:sz="4" w:space="0" w:color="000000"/>
            </w:tcBorders>
            <w:shd w:val="clear" w:color="auto" w:fill="auto"/>
          </w:tcPr>
          <w:p w14:paraId="374461C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C3" w14:textId="77777777" w:rsidR="00985BBF" w:rsidRDefault="00785499">
            <w:pPr>
              <w:jc w:val="both"/>
            </w:pPr>
            <w:r>
              <w:t>UAB „Delikatesas“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C4" w14:textId="7B5C7E54" w:rsidR="00985BBF" w:rsidRDefault="00B618C1">
            <w:pPr>
              <w:jc w:val="center"/>
            </w:pPr>
            <w:r>
              <w:t>461,74</w:t>
            </w:r>
          </w:p>
        </w:tc>
      </w:tr>
      <w:tr w:rsidR="00985BBF" w14:paraId="374461C9" w14:textId="77777777">
        <w:tc>
          <w:tcPr>
            <w:tcW w:w="567" w:type="dxa"/>
            <w:tcBorders>
              <w:top w:val="single" w:sz="4" w:space="0" w:color="000000"/>
              <w:left w:val="single" w:sz="4" w:space="0" w:color="000000"/>
              <w:bottom w:val="single" w:sz="4" w:space="0" w:color="000000"/>
            </w:tcBorders>
            <w:shd w:val="clear" w:color="auto" w:fill="auto"/>
          </w:tcPr>
          <w:p w14:paraId="374461C6"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C7" w14:textId="77777777" w:rsidR="00985BBF" w:rsidRDefault="00785499">
            <w:pPr>
              <w:jc w:val="both"/>
            </w:pPr>
            <w:r>
              <w:t>AB „Energijos skirstymo operatorius“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C8" w14:textId="52FD3FB0" w:rsidR="00985BBF" w:rsidRDefault="00B618C1">
            <w:pPr>
              <w:jc w:val="center"/>
            </w:pPr>
            <w:r>
              <w:t>111,67</w:t>
            </w:r>
          </w:p>
        </w:tc>
      </w:tr>
      <w:tr w:rsidR="00985BBF" w14:paraId="374461CD" w14:textId="77777777">
        <w:tc>
          <w:tcPr>
            <w:tcW w:w="567" w:type="dxa"/>
            <w:tcBorders>
              <w:top w:val="single" w:sz="4" w:space="0" w:color="000000"/>
              <w:left w:val="single" w:sz="4" w:space="0" w:color="000000"/>
              <w:bottom w:val="single" w:sz="4" w:space="0" w:color="000000"/>
            </w:tcBorders>
            <w:shd w:val="clear" w:color="auto" w:fill="auto"/>
          </w:tcPr>
          <w:p w14:paraId="374461CA"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CB" w14:textId="77777777" w:rsidR="00985BBF" w:rsidRDefault="00785499">
            <w:pPr>
              <w:jc w:val="both"/>
            </w:pPr>
            <w:r>
              <w:t>UAB „Aukštaitijos vandenys“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CC" w14:textId="6FBAA79D" w:rsidR="00985BBF" w:rsidRDefault="00B618C1">
            <w:pPr>
              <w:jc w:val="center"/>
            </w:pPr>
            <w:r>
              <w:t>185,22</w:t>
            </w:r>
          </w:p>
        </w:tc>
      </w:tr>
      <w:tr w:rsidR="00985BBF" w14:paraId="374461D1" w14:textId="77777777">
        <w:tc>
          <w:tcPr>
            <w:tcW w:w="567" w:type="dxa"/>
            <w:tcBorders>
              <w:top w:val="single" w:sz="4" w:space="0" w:color="000000"/>
              <w:left w:val="single" w:sz="4" w:space="0" w:color="000000"/>
              <w:bottom w:val="single" w:sz="4" w:space="0" w:color="000000"/>
            </w:tcBorders>
            <w:shd w:val="clear" w:color="auto" w:fill="auto"/>
          </w:tcPr>
          <w:p w14:paraId="374461C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CF" w14:textId="77777777" w:rsidR="00985BBF" w:rsidRDefault="00785499">
            <w:pPr>
              <w:jc w:val="both"/>
            </w:pPr>
            <w:r>
              <w:t xml:space="preserve">AB „Panevėžio specialusis autotransportas“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D0" w14:textId="003502D4" w:rsidR="00985BBF" w:rsidRDefault="00B618C1">
            <w:pPr>
              <w:jc w:val="center"/>
            </w:pPr>
            <w:r>
              <w:t>142,61</w:t>
            </w:r>
          </w:p>
        </w:tc>
      </w:tr>
      <w:tr w:rsidR="00985BBF" w14:paraId="374461D5" w14:textId="77777777">
        <w:tc>
          <w:tcPr>
            <w:tcW w:w="567" w:type="dxa"/>
            <w:tcBorders>
              <w:top w:val="single" w:sz="4" w:space="0" w:color="000000"/>
              <w:left w:val="single" w:sz="4" w:space="0" w:color="000000"/>
              <w:bottom w:val="single" w:sz="4" w:space="0" w:color="000000"/>
            </w:tcBorders>
            <w:shd w:val="clear" w:color="auto" w:fill="auto"/>
          </w:tcPr>
          <w:p w14:paraId="374461D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D3" w14:textId="77777777" w:rsidR="00985BBF" w:rsidRDefault="00785499">
            <w:pPr>
              <w:jc w:val="both"/>
            </w:pPr>
            <w:r>
              <w:t>AB „Panevėžio energija“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D4" w14:textId="285A83AE" w:rsidR="00985BBF" w:rsidRDefault="00995CA9">
            <w:pPr>
              <w:jc w:val="center"/>
            </w:pPr>
            <w:r>
              <w:t>388,35</w:t>
            </w:r>
          </w:p>
        </w:tc>
      </w:tr>
      <w:tr w:rsidR="00985BBF" w14:paraId="374461D9" w14:textId="77777777">
        <w:tc>
          <w:tcPr>
            <w:tcW w:w="567" w:type="dxa"/>
            <w:tcBorders>
              <w:top w:val="single" w:sz="4" w:space="0" w:color="000000"/>
              <w:left w:val="single" w:sz="4" w:space="0" w:color="000000"/>
              <w:bottom w:val="single" w:sz="4" w:space="0" w:color="000000"/>
            </w:tcBorders>
            <w:shd w:val="clear" w:color="auto" w:fill="auto"/>
          </w:tcPr>
          <w:p w14:paraId="374461D6"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D7" w14:textId="77777777" w:rsidR="00985BBF" w:rsidRDefault="00785499">
            <w:pPr>
              <w:jc w:val="both"/>
            </w:pPr>
            <w:r>
              <w:t>UAB „Biuroline““</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D8" w14:textId="272FF6C7" w:rsidR="00985BBF" w:rsidRDefault="00B618C1">
            <w:pPr>
              <w:snapToGrid w:val="0"/>
              <w:jc w:val="center"/>
            </w:pPr>
            <w:r>
              <w:t>25,0</w:t>
            </w:r>
          </w:p>
        </w:tc>
      </w:tr>
      <w:tr w:rsidR="00985BBF" w14:paraId="374461DD" w14:textId="77777777">
        <w:tc>
          <w:tcPr>
            <w:tcW w:w="567" w:type="dxa"/>
            <w:tcBorders>
              <w:top w:val="single" w:sz="4" w:space="0" w:color="000000"/>
              <w:left w:val="single" w:sz="4" w:space="0" w:color="000000"/>
              <w:bottom w:val="single" w:sz="4" w:space="0" w:color="000000"/>
            </w:tcBorders>
            <w:shd w:val="clear" w:color="auto" w:fill="auto"/>
          </w:tcPr>
          <w:p w14:paraId="374461DA"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DB" w14:textId="77777777" w:rsidR="00985BBF" w:rsidRDefault="00785499">
            <w:pPr>
              <w:jc w:val="both"/>
            </w:pPr>
            <w:r>
              <w:t xml:space="preserve">UAB „ Elektrum Lietuva“ (elektros energija)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DC" w14:textId="5D7AB386" w:rsidR="00985BBF" w:rsidRDefault="00B618C1">
            <w:pPr>
              <w:jc w:val="center"/>
            </w:pPr>
            <w:r>
              <w:t>154,23</w:t>
            </w:r>
          </w:p>
        </w:tc>
      </w:tr>
      <w:tr w:rsidR="00985BBF" w14:paraId="374461E1" w14:textId="77777777">
        <w:tc>
          <w:tcPr>
            <w:tcW w:w="567" w:type="dxa"/>
            <w:tcBorders>
              <w:top w:val="single" w:sz="4" w:space="0" w:color="000000"/>
              <w:left w:val="single" w:sz="4" w:space="0" w:color="000000"/>
              <w:bottom w:val="single" w:sz="4" w:space="0" w:color="000000"/>
            </w:tcBorders>
            <w:shd w:val="clear" w:color="auto" w:fill="auto"/>
          </w:tcPr>
          <w:p w14:paraId="374461D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DF" w14:textId="77777777" w:rsidR="00985BBF" w:rsidRDefault="00785499">
            <w:pPr>
              <w:jc w:val="both"/>
            </w:pPr>
            <w:r>
              <w:t>UAB „Baltic swan“ (skalbimo paslauga)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E0" w14:textId="616766CE" w:rsidR="00985BBF" w:rsidRDefault="00B618C1">
            <w:pPr>
              <w:jc w:val="center"/>
            </w:pPr>
            <w:r>
              <w:t>255,20</w:t>
            </w:r>
          </w:p>
        </w:tc>
      </w:tr>
      <w:tr w:rsidR="00985BBF" w14:paraId="374461E5" w14:textId="77777777">
        <w:tc>
          <w:tcPr>
            <w:tcW w:w="567" w:type="dxa"/>
            <w:tcBorders>
              <w:top w:val="single" w:sz="4" w:space="0" w:color="000000"/>
              <w:left w:val="single" w:sz="4" w:space="0" w:color="000000"/>
              <w:bottom w:val="single" w:sz="4" w:space="0" w:color="000000"/>
            </w:tcBorders>
            <w:shd w:val="clear" w:color="auto" w:fill="auto"/>
          </w:tcPr>
          <w:p w14:paraId="374461E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E3" w14:textId="77777777" w:rsidR="00985BBF" w:rsidRDefault="00785499">
            <w:pPr>
              <w:jc w:val="both"/>
            </w:pPr>
            <w:r>
              <w:t>UAB „Panevėžio Citma““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E4" w14:textId="668FD612" w:rsidR="00985BBF" w:rsidRDefault="00B618C1">
            <w:pPr>
              <w:jc w:val="center"/>
            </w:pPr>
            <w:r>
              <w:t>785,11</w:t>
            </w:r>
          </w:p>
        </w:tc>
      </w:tr>
      <w:tr w:rsidR="00985BBF" w14:paraId="374461E9" w14:textId="77777777">
        <w:tc>
          <w:tcPr>
            <w:tcW w:w="567" w:type="dxa"/>
            <w:tcBorders>
              <w:top w:val="single" w:sz="4" w:space="0" w:color="000000"/>
              <w:left w:val="single" w:sz="4" w:space="0" w:color="000000"/>
              <w:bottom w:val="single" w:sz="4" w:space="0" w:color="000000"/>
            </w:tcBorders>
            <w:shd w:val="clear" w:color="auto" w:fill="auto"/>
          </w:tcPr>
          <w:p w14:paraId="374461E6"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E7" w14:textId="77777777" w:rsidR="00985BBF" w:rsidRDefault="00785499">
            <w:pPr>
              <w:jc w:val="both"/>
            </w:pPr>
            <w:r>
              <w:t>UAB „Panevėžio gatvės“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E8" w14:textId="77777777" w:rsidR="00985BBF" w:rsidRDefault="00785499">
            <w:pPr>
              <w:jc w:val="center"/>
            </w:pPr>
            <w:r>
              <w:t>20,39</w:t>
            </w:r>
          </w:p>
        </w:tc>
      </w:tr>
      <w:tr w:rsidR="00985BBF" w14:paraId="374461ED" w14:textId="77777777">
        <w:tc>
          <w:tcPr>
            <w:tcW w:w="567" w:type="dxa"/>
            <w:tcBorders>
              <w:top w:val="single" w:sz="4" w:space="0" w:color="000000"/>
              <w:left w:val="single" w:sz="4" w:space="0" w:color="000000"/>
              <w:bottom w:val="single" w:sz="4" w:space="0" w:color="000000"/>
            </w:tcBorders>
            <w:shd w:val="clear" w:color="auto" w:fill="auto"/>
          </w:tcPr>
          <w:p w14:paraId="374461EA"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EB" w14:textId="50F3C0CC" w:rsidR="00985BBF" w:rsidRDefault="00995CA9" w:rsidP="00995CA9">
            <w:pPr>
              <w:jc w:val="both"/>
            </w:pPr>
            <w:r>
              <w:t>Smėlynės šeimos kl1nika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EC" w14:textId="33C38F5E" w:rsidR="00985BBF" w:rsidRDefault="00995CA9">
            <w:pPr>
              <w:jc w:val="center"/>
            </w:pPr>
            <w:r>
              <w:t>5,0</w:t>
            </w:r>
          </w:p>
        </w:tc>
      </w:tr>
      <w:tr w:rsidR="00985BBF" w14:paraId="374461F1" w14:textId="77777777">
        <w:tc>
          <w:tcPr>
            <w:tcW w:w="567" w:type="dxa"/>
            <w:tcBorders>
              <w:top w:val="single" w:sz="4" w:space="0" w:color="000000"/>
              <w:left w:val="single" w:sz="4" w:space="0" w:color="000000"/>
              <w:bottom w:val="single" w:sz="4" w:space="0" w:color="000000"/>
            </w:tcBorders>
            <w:shd w:val="clear" w:color="auto" w:fill="auto"/>
          </w:tcPr>
          <w:p w14:paraId="374461E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EF" w14:textId="77777777" w:rsidR="00985BBF" w:rsidRDefault="00785499">
            <w:pPr>
              <w:jc w:val="both"/>
            </w:pPr>
            <w:r>
              <w:t>UAB „ Duomenų sauga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F0" w14:textId="77777777" w:rsidR="00985BBF" w:rsidRDefault="00785499">
            <w:pPr>
              <w:jc w:val="center"/>
            </w:pPr>
            <w:r>
              <w:t>50,0</w:t>
            </w:r>
          </w:p>
        </w:tc>
      </w:tr>
      <w:tr w:rsidR="00985BBF" w14:paraId="374461F5" w14:textId="77777777">
        <w:tc>
          <w:tcPr>
            <w:tcW w:w="567" w:type="dxa"/>
            <w:tcBorders>
              <w:top w:val="single" w:sz="4" w:space="0" w:color="000000"/>
              <w:left w:val="single" w:sz="4" w:space="0" w:color="000000"/>
              <w:bottom w:val="single" w:sz="4" w:space="0" w:color="000000"/>
            </w:tcBorders>
            <w:shd w:val="clear" w:color="auto" w:fill="auto"/>
          </w:tcPr>
          <w:p w14:paraId="374461F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F3" w14:textId="5DECAE8F" w:rsidR="00985BBF" w:rsidRDefault="00785499" w:rsidP="001E39B1">
            <w:pPr>
              <w:jc w:val="both"/>
            </w:pPr>
            <w:r>
              <w:t xml:space="preserve">Panevėžio </w:t>
            </w:r>
            <w:r w:rsidR="001E39B1">
              <w:t>regiono atliekų tvarkymo centras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F4" w14:textId="5AEF1A7E" w:rsidR="00985BBF" w:rsidRDefault="001E39B1">
            <w:pPr>
              <w:jc w:val="center"/>
            </w:pPr>
            <w:r>
              <w:t>6,90</w:t>
            </w:r>
          </w:p>
        </w:tc>
      </w:tr>
      <w:tr w:rsidR="00985BBF" w14:paraId="374461F9" w14:textId="77777777">
        <w:tc>
          <w:tcPr>
            <w:tcW w:w="567" w:type="dxa"/>
            <w:tcBorders>
              <w:top w:val="single" w:sz="4" w:space="0" w:color="000000"/>
              <w:left w:val="single" w:sz="4" w:space="0" w:color="000000"/>
              <w:bottom w:val="single" w:sz="4" w:space="0" w:color="000000"/>
            </w:tcBorders>
            <w:shd w:val="clear" w:color="auto" w:fill="auto"/>
          </w:tcPr>
          <w:p w14:paraId="374461F6"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F7" w14:textId="77777777" w:rsidR="00985BBF" w:rsidRDefault="00785499">
            <w:pPr>
              <w:jc w:val="both"/>
            </w:pPr>
            <w:r>
              <w:t>UAB „Sinerta“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F8" w14:textId="1332A8BD" w:rsidR="00985BBF" w:rsidRDefault="00B618C1">
            <w:pPr>
              <w:jc w:val="center"/>
            </w:pPr>
            <w:r>
              <w:t>0</w:t>
            </w:r>
          </w:p>
        </w:tc>
      </w:tr>
      <w:tr w:rsidR="00985BBF" w14:paraId="374461FD" w14:textId="77777777">
        <w:tc>
          <w:tcPr>
            <w:tcW w:w="567" w:type="dxa"/>
            <w:tcBorders>
              <w:top w:val="single" w:sz="4" w:space="0" w:color="000000"/>
              <w:left w:val="single" w:sz="4" w:space="0" w:color="000000"/>
              <w:bottom w:val="single" w:sz="4" w:space="0" w:color="000000"/>
            </w:tcBorders>
            <w:shd w:val="clear" w:color="auto" w:fill="auto"/>
          </w:tcPr>
          <w:p w14:paraId="374461FA"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FB" w14:textId="058AB8B5" w:rsidR="00985BBF" w:rsidRDefault="00995CA9">
            <w:pPr>
              <w:jc w:val="both"/>
            </w:pPr>
            <w:r>
              <w:t>Kemitek, UAB</w:t>
            </w:r>
            <w:r w:rsidR="00785499">
              <w:t xml:space="preserv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1FC" w14:textId="77777777" w:rsidR="00985BBF" w:rsidRDefault="00785499">
            <w:pPr>
              <w:jc w:val="center"/>
            </w:pPr>
            <w:r>
              <w:t>0</w:t>
            </w:r>
          </w:p>
        </w:tc>
      </w:tr>
      <w:tr w:rsidR="00985BBF" w14:paraId="37446201" w14:textId="77777777">
        <w:tc>
          <w:tcPr>
            <w:tcW w:w="567" w:type="dxa"/>
            <w:tcBorders>
              <w:top w:val="single" w:sz="4" w:space="0" w:color="000000"/>
              <w:left w:val="single" w:sz="4" w:space="0" w:color="000000"/>
              <w:bottom w:val="single" w:sz="4" w:space="0" w:color="000000"/>
            </w:tcBorders>
            <w:shd w:val="clear" w:color="auto" w:fill="auto"/>
          </w:tcPr>
          <w:p w14:paraId="374461F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1FF" w14:textId="77777777" w:rsidR="00985BBF" w:rsidRDefault="00785499">
            <w:pPr>
              <w:jc w:val="both"/>
            </w:pPr>
            <w:r>
              <w:t>UAB „Utenos deratizacija“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00" w14:textId="6D59EB56" w:rsidR="00985BBF" w:rsidRDefault="00995CA9" w:rsidP="00B618C1">
            <w:pPr>
              <w:jc w:val="center"/>
            </w:pPr>
            <w:r>
              <w:t>54,45</w:t>
            </w:r>
          </w:p>
        </w:tc>
      </w:tr>
      <w:tr w:rsidR="00985BBF" w14:paraId="37446205" w14:textId="77777777">
        <w:tc>
          <w:tcPr>
            <w:tcW w:w="567" w:type="dxa"/>
            <w:tcBorders>
              <w:top w:val="single" w:sz="4" w:space="0" w:color="000000"/>
              <w:left w:val="single" w:sz="4" w:space="0" w:color="000000"/>
              <w:bottom w:val="single" w:sz="4" w:space="0" w:color="000000"/>
            </w:tcBorders>
            <w:shd w:val="clear" w:color="auto" w:fill="auto"/>
          </w:tcPr>
          <w:p w14:paraId="3744620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203" w14:textId="77777777" w:rsidR="00985BBF" w:rsidRDefault="00785499">
            <w:pPr>
              <w:jc w:val="both"/>
            </w:pPr>
            <w:r>
              <w:t>AB „Žemaitijos pienas““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04" w14:textId="54C6BD2B" w:rsidR="00985BBF" w:rsidRDefault="00B618C1">
            <w:pPr>
              <w:jc w:val="center"/>
            </w:pPr>
            <w:r>
              <w:t>552,86</w:t>
            </w:r>
          </w:p>
        </w:tc>
      </w:tr>
      <w:tr w:rsidR="00985BBF" w14:paraId="37446209" w14:textId="77777777">
        <w:tc>
          <w:tcPr>
            <w:tcW w:w="567" w:type="dxa"/>
            <w:tcBorders>
              <w:top w:val="single" w:sz="4" w:space="0" w:color="000000"/>
              <w:left w:val="single" w:sz="4" w:space="0" w:color="000000"/>
              <w:bottom w:val="single" w:sz="4" w:space="0" w:color="000000"/>
            </w:tcBorders>
            <w:shd w:val="clear" w:color="auto" w:fill="auto"/>
          </w:tcPr>
          <w:p w14:paraId="37446206"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207" w14:textId="77777777" w:rsidR="00985BBF" w:rsidRDefault="00785499">
            <w:pPr>
              <w:jc w:val="both"/>
            </w:pPr>
            <w:r>
              <w:t>UAB „Kesko senukai Lithuanian“</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08" w14:textId="77777777" w:rsidR="00985BBF" w:rsidRDefault="00985BBF">
            <w:pPr>
              <w:snapToGrid w:val="0"/>
              <w:jc w:val="center"/>
            </w:pPr>
          </w:p>
        </w:tc>
      </w:tr>
      <w:tr w:rsidR="00985BBF" w14:paraId="3744620D" w14:textId="77777777">
        <w:tc>
          <w:tcPr>
            <w:tcW w:w="567" w:type="dxa"/>
            <w:tcBorders>
              <w:top w:val="single" w:sz="4" w:space="0" w:color="000000"/>
              <w:left w:val="single" w:sz="4" w:space="0" w:color="000000"/>
              <w:bottom w:val="single" w:sz="4" w:space="0" w:color="000000"/>
            </w:tcBorders>
            <w:shd w:val="clear" w:color="auto" w:fill="auto"/>
          </w:tcPr>
          <w:p w14:paraId="3744620A"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20B" w14:textId="77777777" w:rsidR="00985BBF" w:rsidRDefault="00785499">
            <w:pPr>
              <w:jc w:val="both"/>
            </w:pPr>
            <w:r>
              <w:t>Telia LT,AB</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0C" w14:textId="23B99CC8" w:rsidR="00985BBF" w:rsidRDefault="00995CA9">
            <w:pPr>
              <w:jc w:val="center"/>
            </w:pPr>
            <w:r>
              <w:t>44,60</w:t>
            </w:r>
          </w:p>
        </w:tc>
      </w:tr>
      <w:tr w:rsidR="00985BBF" w14:paraId="37446211" w14:textId="77777777">
        <w:tc>
          <w:tcPr>
            <w:tcW w:w="567" w:type="dxa"/>
            <w:tcBorders>
              <w:top w:val="single" w:sz="4" w:space="0" w:color="000000"/>
              <w:left w:val="single" w:sz="4" w:space="0" w:color="000000"/>
              <w:bottom w:val="single" w:sz="4" w:space="0" w:color="000000"/>
            </w:tcBorders>
            <w:shd w:val="clear" w:color="auto" w:fill="auto"/>
          </w:tcPr>
          <w:p w14:paraId="3744620E"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20F" w14:textId="77777777" w:rsidR="00985BBF" w:rsidRDefault="00785499">
            <w:pPr>
              <w:jc w:val="both"/>
            </w:pPr>
            <w:r>
              <w:t>UAB „Nevda“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10" w14:textId="77777777" w:rsidR="00985BBF" w:rsidRDefault="00785499">
            <w:pPr>
              <w:jc w:val="center"/>
            </w:pPr>
            <w:r>
              <w:t>65,0</w:t>
            </w:r>
          </w:p>
        </w:tc>
      </w:tr>
      <w:tr w:rsidR="00985BBF" w14:paraId="37446215" w14:textId="77777777">
        <w:trPr>
          <w:trHeight w:val="287"/>
        </w:trPr>
        <w:tc>
          <w:tcPr>
            <w:tcW w:w="567" w:type="dxa"/>
            <w:tcBorders>
              <w:top w:val="single" w:sz="4" w:space="0" w:color="000000"/>
              <w:left w:val="single" w:sz="4" w:space="0" w:color="000000"/>
              <w:bottom w:val="single" w:sz="4" w:space="0" w:color="000000"/>
            </w:tcBorders>
            <w:shd w:val="clear" w:color="auto" w:fill="auto"/>
          </w:tcPr>
          <w:p w14:paraId="37446212" w14:textId="77777777" w:rsidR="00985BBF" w:rsidRDefault="00985BBF">
            <w:pPr>
              <w:numPr>
                <w:ilvl w:val="0"/>
                <w:numId w:val="7"/>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37446213" w14:textId="77777777" w:rsidR="00985BBF" w:rsidRDefault="00785499">
            <w:pPr>
              <w:jc w:val="both"/>
            </w:pPr>
            <w:r>
              <w:t>Viso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446214" w14:textId="1BB7DFAC" w:rsidR="00985BBF" w:rsidRDefault="000B15D4">
            <w:pPr>
              <w:snapToGrid w:val="0"/>
              <w:jc w:val="center"/>
            </w:pPr>
            <w:r>
              <w:t>3934,43</w:t>
            </w:r>
          </w:p>
        </w:tc>
      </w:tr>
    </w:tbl>
    <w:p w14:paraId="37446216" w14:textId="77777777" w:rsidR="00985BBF" w:rsidRDefault="00985BBF">
      <w:pPr>
        <w:jc w:val="both"/>
      </w:pPr>
    </w:p>
    <w:p w14:paraId="37446217" w14:textId="3CF92270" w:rsidR="00985BBF" w:rsidRDefault="00785499">
      <w:pPr>
        <w:jc w:val="both"/>
      </w:pPr>
      <w:r>
        <w:t xml:space="preserve">Kiti trumpalaikiai įsipareigojima: tėvų permoka už vaikų mitybą sumoje </w:t>
      </w:r>
      <w:r w:rsidR="00B721DE">
        <w:t>1245,60</w:t>
      </w:r>
      <w:r>
        <w:t xml:space="preserve"> €.</w:t>
      </w:r>
    </w:p>
    <w:p w14:paraId="37446218" w14:textId="77777777" w:rsidR="00985BBF" w:rsidRDefault="00985BBF">
      <w:pPr>
        <w:jc w:val="both"/>
      </w:pPr>
    </w:p>
    <w:p w14:paraId="37446219" w14:textId="77777777" w:rsidR="00985BBF" w:rsidRDefault="00785499">
      <w:pPr>
        <w:ind w:firstLine="1296"/>
        <w:jc w:val="both"/>
        <w:rPr>
          <w:b/>
        </w:rPr>
      </w:pPr>
      <w:r>
        <w:rPr>
          <w:b/>
        </w:rPr>
        <w:t>P18 Grynasis turtas ( 4 VSAFAS) ;</w:t>
      </w:r>
    </w:p>
    <w:p w14:paraId="3744621A" w14:textId="77777777" w:rsidR="00985BBF" w:rsidRDefault="00985BBF">
      <w:pPr>
        <w:ind w:firstLine="1296"/>
        <w:jc w:val="both"/>
        <w:rPr>
          <w:b/>
        </w:rPr>
      </w:pPr>
    </w:p>
    <w:p w14:paraId="3744621B" w14:textId="34BC6F88" w:rsidR="00985BBF" w:rsidRDefault="00785499">
      <w:pPr>
        <w:ind w:firstLine="708"/>
        <w:jc w:val="both"/>
        <w:rPr>
          <w:b/>
        </w:rPr>
      </w:pPr>
      <w:r>
        <w:t>Grynojo  perviršio likutis ataskaitinio laikotarpio pradžioje sudarė 2898,78 €</w:t>
      </w:r>
      <w:r>
        <w:rPr>
          <w:b/>
        </w:rPr>
        <w:t xml:space="preserve">. </w:t>
      </w:r>
      <w:r>
        <w:t xml:space="preserve">Per ataskaitinį laikotarpį grynasis perviršis sudaro </w:t>
      </w:r>
      <w:r w:rsidR="008A0D16">
        <w:t>617,76</w:t>
      </w:r>
      <w:r>
        <w:t xml:space="preserve"> €. Viso  grynojo turto perviršio likutis 2022 m. </w:t>
      </w:r>
      <w:r w:rsidR="008A0D16">
        <w:t>birželio</w:t>
      </w:r>
      <w:r>
        <w:t xml:space="preserve"> mėn.pabaigai sudaro </w:t>
      </w:r>
      <w:r w:rsidR="008A0D16">
        <w:t>3516,54</w:t>
      </w:r>
      <w:r>
        <w:t xml:space="preserve"> €.</w:t>
      </w:r>
    </w:p>
    <w:p w14:paraId="3744621C" w14:textId="77777777" w:rsidR="00985BBF" w:rsidRDefault="00985BBF">
      <w:pPr>
        <w:jc w:val="both"/>
        <w:rPr>
          <w:b/>
        </w:rPr>
      </w:pPr>
    </w:p>
    <w:p w14:paraId="3744621D" w14:textId="77777777" w:rsidR="00985BBF" w:rsidRDefault="00785499">
      <w:pPr>
        <w:ind w:firstLine="1296"/>
        <w:jc w:val="both"/>
      </w:pPr>
      <w:r>
        <w:rPr>
          <w:b/>
          <w:bCs/>
        </w:rPr>
        <w:t>P21  Kitos pagrindinės veiklos pajamos</w:t>
      </w:r>
      <w:r>
        <w:rPr>
          <w:b/>
        </w:rPr>
        <w:t>ir kitos pajamos(10  VSAFAS) ;</w:t>
      </w:r>
    </w:p>
    <w:p w14:paraId="3744621E" w14:textId="77777777" w:rsidR="00985BBF" w:rsidRDefault="00985BBF">
      <w:pPr>
        <w:ind w:firstLine="1296"/>
        <w:jc w:val="both"/>
      </w:pPr>
    </w:p>
    <w:p w14:paraId="3744621F" w14:textId="725B9FF4" w:rsidR="00985BBF" w:rsidRDefault="00785499">
      <w:pPr>
        <w:ind w:firstLine="708"/>
        <w:jc w:val="both"/>
      </w:pPr>
      <w:r>
        <w:t xml:space="preserve">Apskaitos ir finansinės atskaitomybės standartas „Kitos pajamos“  nustato viešojo sektoriaus subjekto pajamas. Gaunamos pajamos už vaikų išlaikymą švietimo įstaigoje skirstomos į mitybos, ugdymo lėšas ir suteiktas paslaugas. Per ataskaitinį laikotarpį priskaičiuotaa </w:t>
      </w:r>
      <w:r w:rsidR="0004381F">
        <w:t>27998,99</w:t>
      </w:r>
      <w:r>
        <w:t xml:space="preserve"> € pajamų, iš jų</w:t>
      </w:r>
    </w:p>
    <w:p w14:paraId="37446220" w14:textId="35A1A5E8" w:rsidR="00985BBF" w:rsidRDefault="00785499">
      <w:pPr>
        <w:numPr>
          <w:ilvl w:val="0"/>
          <w:numId w:val="2"/>
        </w:numPr>
        <w:jc w:val="both"/>
      </w:pPr>
      <w:r>
        <w:t xml:space="preserve">už vaikų mitybą – </w:t>
      </w:r>
      <w:r w:rsidR="00720446">
        <w:t>16813,97</w:t>
      </w:r>
      <w:r>
        <w:t xml:space="preserve"> €, </w:t>
      </w:r>
    </w:p>
    <w:p w14:paraId="37446221" w14:textId="1726711F" w:rsidR="00985BBF" w:rsidRDefault="00785499">
      <w:pPr>
        <w:numPr>
          <w:ilvl w:val="0"/>
          <w:numId w:val="2"/>
        </w:numPr>
        <w:jc w:val="both"/>
      </w:pPr>
      <w:r>
        <w:t xml:space="preserve">už vaikų ugdymą – </w:t>
      </w:r>
      <w:r w:rsidR="00720446">
        <w:t>8889,57</w:t>
      </w:r>
      <w:r>
        <w:t xml:space="preserve"> €, </w:t>
      </w:r>
    </w:p>
    <w:p w14:paraId="37446222" w14:textId="643851C4" w:rsidR="00985BBF" w:rsidRDefault="00785499">
      <w:pPr>
        <w:numPr>
          <w:ilvl w:val="0"/>
          <w:numId w:val="2"/>
        </w:numPr>
        <w:jc w:val="both"/>
      </w:pPr>
      <w:r>
        <w:t xml:space="preserve">už  darbuotojų mitybą – </w:t>
      </w:r>
      <w:r w:rsidR="00720446">
        <w:t>2295,45</w:t>
      </w:r>
      <w:r>
        <w:t xml:space="preserve"> €.</w:t>
      </w:r>
    </w:p>
    <w:p w14:paraId="37446223" w14:textId="6E2B5809" w:rsidR="00985BBF" w:rsidRDefault="00785499">
      <w:pPr>
        <w:jc w:val="both"/>
      </w:pPr>
      <w:r>
        <w:t xml:space="preserve"> Ir  kitų pajamų gauta už patalpų nuomą – </w:t>
      </w:r>
      <w:r w:rsidR="0004381F">
        <w:t>124,73</w:t>
      </w:r>
      <w:r>
        <w:t xml:space="preserve"> €.  Iš viso – </w:t>
      </w:r>
      <w:r w:rsidR="0004381F">
        <w:t>28123,72</w:t>
      </w:r>
      <w:r>
        <w:t xml:space="preserve"> €.</w:t>
      </w:r>
    </w:p>
    <w:p w14:paraId="37446224" w14:textId="77777777" w:rsidR="00985BBF" w:rsidRDefault="00985BBF">
      <w:pPr>
        <w:jc w:val="both"/>
        <w:rPr>
          <w:b/>
        </w:rPr>
      </w:pPr>
    </w:p>
    <w:p w14:paraId="37446225" w14:textId="77777777" w:rsidR="00985BBF" w:rsidRDefault="00785499">
      <w:pPr>
        <w:ind w:left="1416"/>
        <w:jc w:val="both"/>
        <w:rPr>
          <w:b/>
        </w:rPr>
      </w:pPr>
      <w:r>
        <w:rPr>
          <w:b/>
        </w:rPr>
        <w:t xml:space="preserve">P23  Finansinės ir investicinės veiklos pajamos ir sąnaudos (6 VSAFAS;4 pr;10 VSAFAS;11 VSAFAS) ; </w:t>
      </w:r>
    </w:p>
    <w:p w14:paraId="37446226" w14:textId="77777777" w:rsidR="00985BBF" w:rsidRDefault="00985BBF">
      <w:pPr>
        <w:ind w:left="1416"/>
        <w:jc w:val="both"/>
        <w:rPr>
          <w:b/>
        </w:rPr>
      </w:pPr>
    </w:p>
    <w:p w14:paraId="37446227" w14:textId="37B9D060" w:rsidR="00985BBF" w:rsidRDefault="00785499">
      <w:pPr>
        <w:jc w:val="both"/>
      </w:pPr>
      <w:r>
        <w:t xml:space="preserve">     Per 2022 metų I </w:t>
      </w:r>
      <w:r w:rsidR="005D5687">
        <w:t>pusm</w:t>
      </w:r>
      <w:r>
        <w:t xml:space="preserve">. įstaigoje finansinės ir investicinės veiklos pajamų ir sąnaudų neužregistruota. </w:t>
      </w:r>
    </w:p>
    <w:p w14:paraId="37446228" w14:textId="77777777" w:rsidR="00985BBF" w:rsidRDefault="00985BBF">
      <w:pPr>
        <w:jc w:val="both"/>
        <w:rPr>
          <w:b/>
        </w:rPr>
      </w:pPr>
    </w:p>
    <w:p w14:paraId="37446229" w14:textId="77777777" w:rsidR="00985BBF" w:rsidRDefault="00785499">
      <w:pPr>
        <w:jc w:val="both"/>
      </w:pPr>
      <w:r>
        <w:t>Direktorė</w:t>
      </w:r>
      <w:r>
        <w:tab/>
      </w:r>
      <w:r>
        <w:tab/>
      </w:r>
      <w:r>
        <w:tab/>
        <w:t xml:space="preserve">                                                                             Regina Mikalauskienė                </w:t>
      </w:r>
    </w:p>
    <w:p w14:paraId="3744622A" w14:textId="77777777" w:rsidR="00985BBF" w:rsidRDefault="00785499">
      <w:pPr>
        <w:jc w:val="both"/>
      </w:pPr>
      <w:r>
        <w:t>___________________ ___________________________           _________     ____________</w:t>
      </w:r>
    </w:p>
    <w:p w14:paraId="3744622B" w14:textId="77777777" w:rsidR="00985BBF" w:rsidRDefault="00785499">
      <w:pPr>
        <w:jc w:val="both"/>
        <w:rPr>
          <w:sz w:val="22"/>
          <w:szCs w:val="22"/>
        </w:rPr>
      </w:pPr>
      <w:r>
        <w:rPr>
          <w:sz w:val="22"/>
          <w:szCs w:val="22"/>
        </w:rPr>
        <w:t>Teisės aktais įpareigoto pasirašyti asmens pareigų pavadinimas                 (parašas)      (vardas, pavardė)</w:t>
      </w:r>
    </w:p>
    <w:p w14:paraId="3744622C" w14:textId="77777777" w:rsidR="00985BBF" w:rsidRDefault="00985BBF">
      <w:pPr>
        <w:jc w:val="both"/>
        <w:rPr>
          <w:sz w:val="22"/>
          <w:szCs w:val="22"/>
        </w:rPr>
      </w:pPr>
    </w:p>
    <w:p w14:paraId="3744622D" w14:textId="77777777" w:rsidR="00985BBF" w:rsidRDefault="00785499">
      <w:pPr>
        <w:jc w:val="both"/>
        <w:rPr>
          <w:sz w:val="22"/>
          <w:szCs w:val="22"/>
        </w:rPr>
      </w:pPr>
      <w:r>
        <w:rPr>
          <w:sz w:val="22"/>
          <w:szCs w:val="22"/>
        </w:rPr>
        <w:t>Vyr.buhalterė                                                                                                                    Rita Elmentienė</w:t>
      </w:r>
    </w:p>
    <w:p w14:paraId="3744622E" w14:textId="77777777" w:rsidR="00985BBF" w:rsidRDefault="00785499">
      <w:pPr>
        <w:jc w:val="both"/>
      </w:pPr>
      <w:r>
        <w:t>_____________________________________________           _________     ____________</w:t>
      </w:r>
    </w:p>
    <w:p w14:paraId="3744622F" w14:textId="77777777" w:rsidR="00985BBF" w:rsidRDefault="00785499">
      <w:pPr>
        <w:jc w:val="both"/>
        <w:rPr>
          <w:sz w:val="22"/>
          <w:szCs w:val="22"/>
        </w:rPr>
      </w:pPr>
      <w:r>
        <w:rPr>
          <w:sz w:val="22"/>
          <w:szCs w:val="22"/>
        </w:rPr>
        <w:t>Teisės aktais įpareigoto pasirašyti asmens pareigų pavadinimas                 (parašas)      (vardas, pavardė)</w:t>
      </w:r>
    </w:p>
    <w:p w14:paraId="37446230" w14:textId="77777777" w:rsidR="00985BBF" w:rsidRDefault="00985BBF">
      <w:pPr>
        <w:jc w:val="both"/>
        <w:rPr>
          <w:sz w:val="22"/>
          <w:szCs w:val="22"/>
        </w:rPr>
      </w:pPr>
    </w:p>
    <w:p w14:paraId="37446231" w14:textId="77777777" w:rsidR="00985BBF" w:rsidRDefault="00985BBF">
      <w:pPr>
        <w:jc w:val="both"/>
        <w:rPr>
          <w:sz w:val="22"/>
          <w:szCs w:val="22"/>
        </w:rPr>
      </w:pPr>
    </w:p>
    <w:p w14:paraId="37446232" w14:textId="77777777" w:rsidR="00985BBF" w:rsidRDefault="00985BBF">
      <w:pPr>
        <w:jc w:val="both"/>
        <w:rPr>
          <w:sz w:val="22"/>
          <w:szCs w:val="22"/>
        </w:rPr>
      </w:pPr>
    </w:p>
    <w:sectPr w:rsidR="00985BBF">
      <w:headerReference w:type="default" r:id="rId9"/>
      <w:footerReference w:type="default" r:id="rId10"/>
      <w:pgSz w:w="11906" w:h="16838"/>
      <w:pgMar w:top="1134" w:right="567" w:bottom="851" w:left="1418"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0E61E" w14:textId="77777777" w:rsidR="00EC7ECF" w:rsidRDefault="00EC7ECF">
      <w:r>
        <w:separator/>
      </w:r>
    </w:p>
  </w:endnote>
  <w:endnote w:type="continuationSeparator" w:id="0">
    <w:p w14:paraId="551CDBD4" w14:textId="77777777" w:rsidR="00EC7ECF" w:rsidRDefault="00EC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DejaVu Sans;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6235" w14:textId="77777777" w:rsidR="00985BBF" w:rsidRDefault="00985BB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8A9EA" w14:textId="77777777" w:rsidR="00EC7ECF" w:rsidRDefault="00EC7ECF">
      <w:r>
        <w:separator/>
      </w:r>
    </w:p>
  </w:footnote>
  <w:footnote w:type="continuationSeparator" w:id="0">
    <w:p w14:paraId="2C982342" w14:textId="77777777" w:rsidR="00EC7ECF" w:rsidRDefault="00EC7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6233" w14:textId="77777777" w:rsidR="00985BBF" w:rsidRDefault="00985BBF">
    <w:pPr>
      <w:pStyle w:val="Antrats"/>
      <w:jc w:val="center"/>
    </w:pPr>
  </w:p>
  <w:p w14:paraId="37446234" w14:textId="77777777" w:rsidR="00985BBF" w:rsidRDefault="00985B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DE9"/>
    <w:multiLevelType w:val="multilevel"/>
    <w:tmpl w:val="9978FA6C"/>
    <w:lvl w:ilvl="0">
      <w:numFmt w:val="bullet"/>
      <w:lvlText w:val="-"/>
      <w:lvlJc w:val="left"/>
      <w:pPr>
        <w:ind w:left="1429" w:hanging="360"/>
      </w:pPr>
      <w:rPr>
        <w:rFonts w:ascii="Times New Roman" w:hAnsi="Times New Roman" w:cs="Times New Roman" w:hint="default"/>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nsid w:val="438B79DD"/>
    <w:multiLevelType w:val="multilevel"/>
    <w:tmpl w:val="B07E6410"/>
    <w:lvl w:ilvl="0">
      <w:numFmt w:val="bullet"/>
      <w:lvlText w:val="-"/>
      <w:lvlJc w:val="left"/>
      <w:pPr>
        <w:ind w:left="780" w:hanging="360"/>
      </w:pPr>
      <w:rPr>
        <w:rFonts w:ascii="Times New Roman" w:hAnsi="Times New Roman" w:cs="Times New Roman" w:hint="default"/>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
    <w:nsid w:val="4BC57B1A"/>
    <w:multiLevelType w:val="multilevel"/>
    <w:tmpl w:val="A9B63D94"/>
    <w:lvl w:ilvl="0">
      <w:numFmt w:val="bullet"/>
      <w:lvlText w:val="-"/>
      <w:lvlJc w:val="left"/>
      <w:pPr>
        <w:ind w:left="1429" w:hanging="360"/>
      </w:pPr>
      <w:rPr>
        <w:rFonts w:ascii="Times New Roman" w:hAnsi="Times New Roman" w:cs="Times New Roman" w:hint="default"/>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
    <w:nsid w:val="55501CE6"/>
    <w:multiLevelType w:val="multilevel"/>
    <w:tmpl w:val="A1220BA2"/>
    <w:lvl w:ilvl="0">
      <w:start w:val="1"/>
      <w:numFmt w:val="decimal"/>
      <w:pStyle w:val="Antrat1"/>
      <w:lvlText w:val="%1."/>
      <w:lvlJc w:val="left"/>
      <w:pPr>
        <w:tabs>
          <w:tab w:val="num" w:pos="432"/>
        </w:tabs>
        <w:ind w:left="432" w:hanging="432"/>
      </w:pPr>
    </w:lvl>
    <w:lvl w:ilvl="1">
      <w:start w:val="1"/>
      <w:numFmt w:val="decimal"/>
      <w:pStyle w:val="Antrat2"/>
      <w:lvlText w:val="%1.%2."/>
      <w:lvlJc w:val="left"/>
      <w:pPr>
        <w:tabs>
          <w:tab w:val="num" w:pos="1002"/>
        </w:tabs>
        <w:ind w:left="1002" w:hanging="576"/>
      </w:pPr>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rPr>
    </w:lvl>
    <w:lvl w:ilvl="2">
      <w:start w:val="1"/>
      <w:numFmt w:val="decimal"/>
      <w:pStyle w:val="Antrat3"/>
      <w:lvlText w:val="%1.%2.%3."/>
      <w:lvlJc w:val="left"/>
      <w:pPr>
        <w:tabs>
          <w:tab w:val="num" w:pos="1572"/>
        </w:tabs>
        <w:ind w:left="1572" w:hanging="720"/>
      </w:pPr>
      <w:rPr>
        <w:b/>
      </w:r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4">
    <w:nsid w:val="5E121388"/>
    <w:multiLevelType w:val="multilevel"/>
    <w:tmpl w:val="0486E626"/>
    <w:lvl w:ilvl="0">
      <w:start w:val="1"/>
      <w:numFmt w:val="decimal"/>
      <w:lvlText w:val="%1."/>
      <w:lvlJc w:val="left"/>
      <w:pPr>
        <w:ind w:left="785" w:hanging="360"/>
      </w:p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nsid w:val="5E8A0D75"/>
    <w:multiLevelType w:val="multilevel"/>
    <w:tmpl w:val="E4426ED6"/>
    <w:lvl w:ilvl="0">
      <w:start w:val="2"/>
      <w:numFmt w:val="decimal"/>
      <w:lvlText w:val="%1."/>
      <w:lvlJc w:val="left"/>
      <w:pPr>
        <w:ind w:left="1025" w:hanging="600"/>
      </w:pPr>
      <w:rPr>
        <w:b/>
        <w:sz w:val="28"/>
        <w:szCs w:val="28"/>
      </w:rPr>
    </w:lvl>
    <w:lvl w:ilvl="1">
      <w:start w:val="12"/>
      <w:numFmt w:val="decimal"/>
      <w:lvlText w:val="%1.%2."/>
      <w:lvlJc w:val="left"/>
      <w:pPr>
        <w:ind w:left="8800"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028" w:hanging="108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6959" w:hanging="1800"/>
      </w:pPr>
    </w:lvl>
    <w:lvl w:ilvl="8">
      <w:start w:val="1"/>
      <w:numFmt w:val="decimal"/>
      <w:lvlText w:val="%1.%2.%3.%4.%5.%6.%7.%8.%9."/>
      <w:lvlJc w:val="left"/>
      <w:pPr>
        <w:ind w:left="8056" w:hanging="2160"/>
      </w:pPr>
    </w:lvl>
  </w:abstractNum>
  <w:abstractNum w:abstractNumId="6">
    <w:nsid w:val="65F704FD"/>
    <w:multiLevelType w:val="multilevel"/>
    <w:tmpl w:val="3B2EB496"/>
    <w:lvl w:ilvl="0">
      <w:numFmt w:val="bullet"/>
      <w:lvlText w:val="-"/>
      <w:lvlJc w:val="left"/>
      <w:pPr>
        <w:ind w:left="1428" w:hanging="360"/>
      </w:pPr>
      <w:rPr>
        <w:rFonts w:ascii="Times New Roman" w:hAnsi="Times New Roman" w:cs="Times New Roman" w:hint="default"/>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171F9"/>
    <w:rsid w:val="0004381F"/>
    <w:rsid w:val="000B15D4"/>
    <w:rsid w:val="000B6BA5"/>
    <w:rsid w:val="000F2C6E"/>
    <w:rsid w:val="00125DA4"/>
    <w:rsid w:val="001B50F8"/>
    <w:rsid w:val="001C552F"/>
    <w:rsid w:val="001E39B1"/>
    <w:rsid w:val="0022782B"/>
    <w:rsid w:val="002E3C8B"/>
    <w:rsid w:val="003019DE"/>
    <w:rsid w:val="003F4E9D"/>
    <w:rsid w:val="004318FD"/>
    <w:rsid w:val="004A22DE"/>
    <w:rsid w:val="004A26F3"/>
    <w:rsid w:val="00591394"/>
    <w:rsid w:val="005D5687"/>
    <w:rsid w:val="00647CC2"/>
    <w:rsid w:val="0070104B"/>
    <w:rsid w:val="00712BDD"/>
    <w:rsid w:val="00720446"/>
    <w:rsid w:val="00731D5E"/>
    <w:rsid w:val="00785499"/>
    <w:rsid w:val="00845043"/>
    <w:rsid w:val="008A0D16"/>
    <w:rsid w:val="00903DBA"/>
    <w:rsid w:val="009355DE"/>
    <w:rsid w:val="00985BBF"/>
    <w:rsid w:val="00995CA9"/>
    <w:rsid w:val="00A70405"/>
    <w:rsid w:val="00AF72D0"/>
    <w:rsid w:val="00AF7394"/>
    <w:rsid w:val="00B618C1"/>
    <w:rsid w:val="00B721DE"/>
    <w:rsid w:val="00BA4E48"/>
    <w:rsid w:val="00BD1EDC"/>
    <w:rsid w:val="00BF551F"/>
    <w:rsid w:val="00CF1A28"/>
    <w:rsid w:val="00D15EED"/>
    <w:rsid w:val="00D27F65"/>
    <w:rsid w:val="00DD1B4F"/>
    <w:rsid w:val="00E1772F"/>
    <w:rsid w:val="00EA64AB"/>
    <w:rsid w:val="00EC7ECF"/>
    <w:rsid w:val="00F44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qFormat/>
    <w:pPr>
      <w:keepNext/>
      <w:numPr>
        <w:numId w:val="1"/>
      </w:numPr>
      <w:spacing w:before="240" w:after="240"/>
      <w:outlineLvl w:val="0"/>
    </w:pPr>
    <w:rPr>
      <w:rFonts w:cs="Arial"/>
      <w:b/>
      <w:bCs/>
      <w:caps/>
      <w:kern w:val="2"/>
      <w:sz w:val="28"/>
      <w:szCs w:val="32"/>
    </w:rPr>
  </w:style>
  <w:style w:type="paragraph" w:styleId="Antrat2">
    <w:name w:val="heading 2"/>
    <w:basedOn w:val="prastasis"/>
    <w:next w:val="prastasis"/>
    <w:qFormat/>
    <w:pPr>
      <w:keepNext/>
      <w:numPr>
        <w:ilvl w:val="1"/>
        <w:numId w:val="1"/>
      </w:numPr>
      <w:spacing w:before="240" w:after="240"/>
      <w:outlineLvl w:val="1"/>
    </w:pPr>
    <w:rPr>
      <w:rFonts w:cs="Arial"/>
      <w:b/>
      <w:bCs/>
      <w:iCs/>
      <w:sz w:val="28"/>
      <w:szCs w:val="28"/>
    </w:rPr>
  </w:style>
  <w:style w:type="paragraph" w:styleId="Antrat3">
    <w:name w:val="heading 3"/>
    <w:basedOn w:val="prastasis"/>
    <w:next w:val="prastasis"/>
    <w:qFormat/>
    <w:pPr>
      <w:keepNext/>
      <w:numPr>
        <w:ilvl w:val="2"/>
        <w:numId w:val="1"/>
      </w:numPr>
      <w:spacing w:before="240" w:after="240"/>
      <w:ind w:left="720" w:firstLine="0"/>
      <w:outlineLvl w:val="2"/>
    </w:pPr>
    <w:rPr>
      <w:rFonts w:cs="Arial"/>
      <w:b/>
      <w:bCs/>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paragraph" w:styleId="Antrat5">
    <w:name w:val="heading 5"/>
    <w:basedOn w:val="prastasis"/>
    <w:next w:val="prastasis"/>
    <w:qFormat/>
    <w:pPr>
      <w:numPr>
        <w:ilvl w:val="4"/>
        <w:numId w:val="1"/>
      </w:numPr>
      <w:spacing w:before="240" w:after="60"/>
      <w:outlineLvl w:val="4"/>
    </w:pPr>
    <w:rPr>
      <w:b/>
      <w:bCs/>
      <w:i/>
      <w:iCs/>
      <w:sz w:val="26"/>
      <w:szCs w:val="26"/>
    </w:rPr>
  </w:style>
  <w:style w:type="paragraph" w:styleId="Antrat6">
    <w:name w:val="heading 6"/>
    <w:basedOn w:val="prastasis"/>
    <w:next w:val="prastasis"/>
    <w:qFormat/>
    <w:pPr>
      <w:numPr>
        <w:ilvl w:val="5"/>
        <w:numId w:val="1"/>
      </w:numPr>
      <w:spacing w:before="240" w:after="60"/>
      <w:outlineLvl w:val="5"/>
    </w:pPr>
    <w:rPr>
      <w:b/>
      <w:bCs/>
      <w:sz w:val="22"/>
      <w:szCs w:val="22"/>
    </w:rPr>
  </w:style>
  <w:style w:type="paragraph" w:styleId="Antrat7">
    <w:name w:val="heading 7"/>
    <w:basedOn w:val="prastasis"/>
    <w:next w:val="prastasis"/>
    <w:qFormat/>
    <w:pPr>
      <w:numPr>
        <w:ilvl w:val="6"/>
        <w:numId w:val="1"/>
      </w:numPr>
      <w:spacing w:before="240" w:after="60"/>
      <w:outlineLvl w:val="6"/>
    </w:pPr>
  </w:style>
  <w:style w:type="paragraph" w:styleId="Antrat8">
    <w:name w:val="heading 8"/>
    <w:basedOn w:val="prastasis"/>
    <w:next w:val="prastasis"/>
    <w:qFormat/>
    <w:pPr>
      <w:numPr>
        <w:ilvl w:val="7"/>
        <w:numId w:val="1"/>
      </w:numPr>
      <w:spacing w:before="240" w:after="60"/>
      <w:outlineLvl w:val="7"/>
    </w:pPr>
    <w:rPr>
      <w:i/>
      <w:iCs/>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WW8Num3z2">
    <w:name w:val="WW8Num3z2"/>
    <w:qFormat/>
    <w:rPr>
      <w:b/>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sz w:val="28"/>
      <w:szCs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Times New Roman" w:eastAsia="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WW8Num20z2">
    <w:name w:val="WW8Num20z2"/>
    <w:qFormat/>
    <w:rPr>
      <w:b/>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BoldItalic">
    <w:name w:val="Bold Italic"/>
    <w:qFormat/>
    <w:rPr>
      <w:b/>
      <w:bCs/>
      <w:i/>
      <w:iC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DocumentMapChar">
    <w:name w:val="Document Map Char"/>
    <w:qFormat/>
    <w:rPr>
      <w:rFonts w:ascii="Tahoma" w:hAnsi="Tahoma" w:cs="Tahoma"/>
      <w:sz w:val="16"/>
      <w:szCs w:val="16"/>
    </w:rPr>
  </w:style>
  <w:style w:type="character" w:customStyle="1" w:styleId="LineNumbering">
    <w:name w:val="Line Numbering"/>
    <w:basedOn w:val="Numatytasispastraiposriftas"/>
  </w:style>
  <w:style w:type="character" w:customStyle="1" w:styleId="InternetLink">
    <w:name w:val="Internet Link"/>
    <w:rPr>
      <w:color w:val="0563C1"/>
      <w:u w:val="single"/>
    </w:rPr>
  </w:style>
  <w:style w:type="character" w:styleId="Komentaronuoroda">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lang w:eastAsia="zh-CN"/>
    </w:rPr>
  </w:style>
  <w:style w:type="character" w:customStyle="1" w:styleId="CommentSubjectChar">
    <w:name w:val="Comment Subject Char"/>
    <w:qFormat/>
    <w:rPr>
      <w:rFonts w:ascii="Times New Roman" w:eastAsia="Times New Roman" w:hAnsi="Times New Roman" w:cs="Times New Roman"/>
      <w:b/>
      <w:bCs/>
      <w:lang w:eastAsia="zh-CN"/>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pPr>
  </w:style>
  <w:style w:type="paragraph" w:styleId="Antrats">
    <w:name w:val="header"/>
    <w:basedOn w:val="prastasis"/>
  </w:style>
  <w:style w:type="paragraph" w:styleId="Porat">
    <w:name w:val="footer"/>
    <w:basedOn w:val="prastasis"/>
  </w:style>
  <w:style w:type="paragraph" w:styleId="Dokumentostruktra">
    <w:name w:val="Document Map"/>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qFormat/>
    <w:pPr>
      <w:keepNext/>
      <w:numPr>
        <w:numId w:val="1"/>
      </w:numPr>
      <w:spacing w:before="240" w:after="240"/>
      <w:outlineLvl w:val="0"/>
    </w:pPr>
    <w:rPr>
      <w:rFonts w:cs="Arial"/>
      <w:b/>
      <w:bCs/>
      <w:caps/>
      <w:kern w:val="2"/>
      <w:sz w:val="28"/>
      <w:szCs w:val="32"/>
    </w:rPr>
  </w:style>
  <w:style w:type="paragraph" w:styleId="Antrat2">
    <w:name w:val="heading 2"/>
    <w:basedOn w:val="prastasis"/>
    <w:next w:val="prastasis"/>
    <w:qFormat/>
    <w:pPr>
      <w:keepNext/>
      <w:numPr>
        <w:ilvl w:val="1"/>
        <w:numId w:val="1"/>
      </w:numPr>
      <w:spacing w:before="240" w:after="240"/>
      <w:outlineLvl w:val="1"/>
    </w:pPr>
    <w:rPr>
      <w:rFonts w:cs="Arial"/>
      <w:b/>
      <w:bCs/>
      <w:iCs/>
      <w:sz w:val="28"/>
      <w:szCs w:val="28"/>
    </w:rPr>
  </w:style>
  <w:style w:type="paragraph" w:styleId="Antrat3">
    <w:name w:val="heading 3"/>
    <w:basedOn w:val="prastasis"/>
    <w:next w:val="prastasis"/>
    <w:qFormat/>
    <w:pPr>
      <w:keepNext/>
      <w:numPr>
        <w:ilvl w:val="2"/>
        <w:numId w:val="1"/>
      </w:numPr>
      <w:spacing w:before="240" w:after="240"/>
      <w:ind w:left="720" w:firstLine="0"/>
      <w:outlineLvl w:val="2"/>
    </w:pPr>
    <w:rPr>
      <w:rFonts w:cs="Arial"/>
      <w:b/>
      <w:bCs/>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paragraph" w:styleId="Antrat5">
    <w:name w:val="heading 5"/>
    <w:basedOn w:val="prastasis"/>
    <w:next w:val="prastasis"/>
    <w:qFormat/>
    <w:pPr>
      <w:numPr>
        <w:ilvl w:val="4"/>
        <w:numId w:val="1"/>
      </w:numPr>
      <w:spacing w:before="240" w:after="60"/>
      <w:outlineLvl w:val="4"/>
    </w:pPr>
    <w:rPr>
      <w:b/>
      <w:bCs/>
      <w:i/>
      <w:iCs/>
      <w:sz w:val="26"/>
      <w:szCs w:val="26"/>
    </w:rPr>
  </w:style>
  <w:style w:type="paragraph" w:styleId="Antrat6">
    <w:name w:val="heading 6"/>
    <w:basedOn w:val="prastasis"/>
    <w:next w:val="prastasis"/>
    <w:qFormat/>
    <w:pPr>
      <w:numPr>
        <w:ilvl w:val="5"/>
        <w:numId w:val="1"/>
      </w:numPr>
      <w:spacing w:before="240" w:after="60"/>
      <w:outlineLvl w:val="5"/>
    </w:pPr>
    <w:rPr>
      <w:b/>
      <w:bCs/>
      <w:sz w:val="22"/>
      <w:szCs w:val="22"/>
    </w:rPr>
  </w:style>
  <w:style w:type="paragraph" w:styleId="Antrat7">
    <w:name w:val="heading 7"/>
    <w:basedOn w:val="prastasis"/>
    <w:next w:val="prastasis"/>
    <w:qFormat/>
    <w:pPr>
      <w:numPr>
        <w:ilvl w:val="6"/>
        <w:numId w:val="1"/>
      </w:numPr>
      <w:spacing w:before="240" w:after="60"/>
      <w:outlineLvl w:val="6"/>
    </w:pPr>
  </w:style>
  <w:style w:type="paragraph" w:styleId="Antrat8">
    <w:name w:val="heading 8"/>
    <w:basedOn w:val="prastasis"/>
    <w:next w:val="prastasis"/>
    <w:qFormat/>
    <w:pPr>
      <w:numPr>
        <w:ilvl w:val="7"/>
        <w:numId w:val="1"/>
      </w:numPr>
      <w:spacing w:before="240" w:after="60"/>
      <w:outlineLvl w:val="7"/>
    </w:pPr>
    <w:rPr>
      <w:i/>
      <w:iCs/>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WW8Num3z2">
    <w:name w:val="WW8Num3z2"/>
    <w:qFormat/>
    <w:rPr>
      <w:b/>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sz w:val="28"/>
      <w:szCs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Times New Roman" w:eastAsia="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WW8Num20z2">
    <w:name w:val="WW8Num20z2"/>
    <w:qFormat/>
    <w:rPr>
      <w:b/>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BoldItalic">
    <w:name w:val="Bold Italic"/>
    <w:qFormat/>
    <w:rPr>
      <w:b/>
      <w:bCs/>
      <w:i/>
      <w:iC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DocumentMapChar">
    <w:name w:val="Document Map Char"/>
    <w:qFormat/>
    <w:rPr>
      <w:rFonts w:ascii="Tahoma" w:hAnsi="Tahoma" w:cs="Tahoma"/>
      <w:sz w:val="16"/>
      <w:szCs w:val="16"/>
    </w:rPr>
  </w:style>
  <w:style w:type="character" w:customStyle="1" w:styleId="LineNumbering">
    <w:name w:val="Line Numbering"/>
    <w:basedOn w:val="Numatytasispastraiposriftas"/>
  </w:style>
  <w:style w:type="character" w:customStyle="1" w:styleId="InternetLink">
    <w:name w:val="Internet Link"/>
    <w:rPr>
      <w:color w:val="0563C1"/>
      <w:u w:val="single"/>
    </w:rPr>
  </w:style>
  <w:style w:type="character" w:styleId="Komentaronuoroda">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lang w:eastAsia="zh-CN"/>
    </w:rPr>
  </w:style>
  <w:style w:type="character" w:customStyle="1" w:styleId="CommentSubjectChar">
    <w:name w:val="Comment Subject Char"/>
    <w:qFormat/>
    <w:rPr>
      <w:rFonts w:ascii="Times New Roman" w:eastAsia="Times New Roman" w:hAnsi="Times New Roman" w:cs="Times New Roman"/>
      <w:b/>
      <w:bCs/>
      <w:lang w:eastAsia="zh-CN"/>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pPr>
  </w:style>
  <w:style w:type="paragraph" w:styleId="Antrats">
    <w:name w:val="header"/>
    <w:basedOn w:val="prastasis"/>
  </w:style>
  <w:style w:type="paragraph" w:styleId="Porat">
    <w:name w:val="footer"/>
    <w:basedOn w:val="prastasis"/>
  </w:style>
  <w:style w:type="paragraph" w:styleId="Dokumentostruktra">
    <w:name w:val="Document Map"/>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d-ruta.lt/administracine-informacija/finansines-ataskai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8583</Words>
  <Characters>4893</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prie balanso</vt:lpstr>
      <vt:lpstr>Priedas prie balanso</vt:lpstr>
    </vt:vector>
  </TitlesOfParts>
  <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prie balanso</dc:title>
  <dc:creator>xxxx</dc:creator>
  <cp:lastModifiedBy>PAC</cp:lastModifiedBy>
  <cp:revision>2</cp:revision>
  <cp:lastPrinted>2018-03-27T12:43:00Z</cp:lastPrinted>
  <dcterms:created xsi:type="dcterms:W3CDTF">2022-09-30T12:02:00Z</dcterms:created>
  <dcterms:modified xsi:type="dcterms:W3CDTF">2022-09-30T12:02:00Z</dcterms:modified>
  <dc:language>en-US</dc:language>
</cp:coreProperties>
</file>